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F740A" w14:textId="77777777" w:rsidR="003C7557" w:rsidRDefault="00680BE8">
      <w:pPr>
        <w:pStyle w:val="Title"/>
        <w:outlineLvl w:val="0"/>
      </w:pPr>
      <w:r>
        <w:t>Mathematics Education</w:t>
      </w:r>
      <w:r w:rsidR="003C7557">
        <w:t xml:space="preserve"> Master Portfolio</w:t>
      </w:r>
    </w:p>
    <w:p w14:paraId="5C8390E0" w14:textId="77777777" w:rsidR="003C7557" w:rsidRDefault="003C7557">
      <w:pPr>
        <w:jc w:val="center"/>
        <w:rPr>
          <w:bCs/>
        </w:rPr>
      </w:pPr>
      <w:r>
        <w:rPr>
          <w:b/>
        </w:rPr>
        <w:t>School of Education, Purdue University</w:t>
      </w:r>
    </w:p>
    <w:p w14:paraId="3E59DB22" w14:textId="77777777" w:rsidR="003C7557" w:rsidRDefault="003C7557">
      <w:pPr>
        <w:rPr>
          <w:bCs/>
        </w:rPr>
      </w:pPr>
    </w:p>
    <w:p w14:paraId="18388790" w14:textId="77777777" w:rsidR="00AE6ECF" w:rsidRPr="00AE6ECF" w:rsidRDefault="00AE6ECF">
      <w:pPr>
        <w:rPr>
          <w:b/>
          <w:bCs/>
          <w:u w:val="single"/>
        </w:rPr>
      </w:pPr>
      <w:r w:rsidRPr="00AE6ECF">
        <w:rPr>
          <w:b/>
          <w:bCs/>
          <w:u w:val="single"/>
        </w:rPr>
        <w:t>Overview:</w:t>
      </w:r>
    </w:p>
    <w:p w14:paraId="4BB55B7B" w14:textId="77777777" w:rsidR="003C7557" w:rsidRDefault="003C7557">
      <w:pPr>
        <w:rPr>
          <w:bCs/>
        </w:rPr>
      </w:pPr>
    </w:p>
    <w:p w14:paraId="0783520E" w14:textId="77777777" w:rsidR="003C7557" w:rsidRPr="00680BE8" w:rsidRDefault="003C7557">
      <w:pPr>
        <w:rPr>
          <w:bCs/>
        </w:rPr>
      </w:pPr>
      <w:r>
        <w:rPr>
          <w:bCs/>
        </w:rPr>
        <w:t xml:space="preserve">Masters Portfolios are purposeful, thematic collections of selected student work that exhibit to the student and others the student's progress, achievement and effort in their Master’s </w:t>
      </w:r>
      <w:r w:rsidR="00680BE8">
        <w:rPr>
          <w:bCs/>
        </w:rPr>
        <w:t xml:space="preserve">degree </w:t>
      </w:r>
      <w:r>
        <w:rPr>
          <w:bCs/>
        </w:rPr>
        <w:t>over time</w:t>
      </w:r>
      <w:r w:rsidRPr="00680BE8">
        <w:rPr>
          <w:bCs/>
        </w:rPr>
        <w:t xml:space="preserve">.  </w:t>
      </w:r>
      <w:r w:rsidR="00680BE8" w:rsidRPr="00680BE8">
        <w:rPr>
          <w:rFonts w:ascii="Times-Roman" w:hAnsi="Times-Roman"/>
        </w:rPr>
        <w:t xml:space="preserve">The portfolio provides an opportunity to </w:t>
      </w:r>
      <w:r w:rsidR="00680BE8" w:rsidRPr="00680BE8">
        <w:rPr>
          <w:rFonts w:ascii="Times-Roman" w:hAnsi="Times-Roman"/>
          <w:color w:val="101010"/>
        </w:rPr>
        <w:t>demonstrate</w:t>
      </w:r>
      <w:r w:rsidR="00680BE8">
        <w:rPr>
          <w:rFonts w:ascii="Times-Roman" w:hAnsi="Times-Roman"/>
          <w:color w:val="101010"/>
        </w:rPr>
        <w:t xml:space="preserve"> general graduate competencies and to provide</w:t>
      </w:r>
      <w:r w:rsidR="00680BE8" w:rsidRPr="00680BE8">
        <w:rPr>
          <w:rFonts w:ascii="Times-Roman" w:hAnsi="Times-Roman"/>
          <w:color w:val="101010"/>
        </w:rPr>
        <w:t xml:space="preserve"> evidence of a graduate’s ability to a</w:t>
      </w:r>
      <w:r w:rsidR="00680BE8" w:rsidRPr="00680BE8">
        <w:rPr>
          <w:rFonts w:ascii="Times-Roman" w:hAnsi="Times-Roman"/>
        </w:rPr>
        <w:t xml:space="preserve">pply instruction to meet the needs of diverse learners and apply technology to enhance student learning.  </w:t>
      </w:r>
    </w:p>
    <w:p w14:paraId="53EFAACB" w14:textId="77777777" w:rsidR="003C7557" w:rsidRPr="00680BE8" w:rsidRDefault="003C7557">
      <w:pPr>
        <w:rPr>
          <w:bCs/>
        </w:rPr>
      </w:pPr>
    </w:p>
    <w:p w14:paraId="6A2D47AE" w14:textId="77777777" w:rsidR="002C3052" w:rsidRDefault="003C7557" w:rsidP="002C3052">
      <w:pPr>
        <w:numPr>
          <w:ilvl w:val="0"/>
          <w:numId w:val="3"/>
        </w:numPr>
        <w:rPr>
          <w:bCs/>
        </w:rPr>
      </w:pPr>
      <w:r>
        <w:rPr>
          <w:bCs/>
        </w:rPr>
        <w:t>Table of Contents</w:t>
      </w:r>
    </w:p>
    <w:p w14:paraId="141520FA" w14:textId="77777777" w:rsidR="002C3052" w:rsidRDefault="002C3052" w:rsidP="002C3052">
      <w:pPr>
        <w:rPr>
          <w:bCs/>
        </w:rPr>
      </w:pPr>
    </w:p>
    <w:p w14:paraId="7AA84328" w14:textId="0B35BB6A" w:rsidR="00AE6ECF" w:rsidRPr="002C3052" w:rsidRDefault="00AE6ECF" w:rsidP="002C3052">
      <w:pPr>
        <w:numPr>
          <w:ilvl w:val="0"/>
          <w:numId w:val="3"/>
        </w:numPr>
        <w:rPr>
          <w:bCs/>
        </w:rPr>
      </w:pPr>
      <w:r w:rsidRPr="002C3052">
        <w:rPr>
          <w:rFonts w:ascii="Times-Roman" w:hAnsi="Times-Roman"/>
        </w:rPr>
        <w:t xml:space="preserve">Table summarizing the primary and additional competencies </w:t>
      </w:r>
      <w:r w:rsidR="005930BE">
        <w:rPr>
          <w:rFonts w:ascii="Times-Roman" w:hAnsi="Times-Roman"/>
        </w:rPr>
        <w:t xml:space="preserve">and/or focus areas </w:t>
      </w:r>
      <w:r w:rsidRPr="002C3052">
        <w:rPr>
          <w:rFonts w:ascii="Times-Roman" w:hAnsi="Times-Roman"/>
        </w:rPr>
        <w:t>met by each artifact (see sample table at end of appendix)</w:t>
      </w:r>
    </w:p>
    <w:p w14:paraId="24254FE4" w14:textId="77777777" w:rsidR="003C7557" w:rsidRDefault="003C7557">
      <w:pPr>
        <w:rPr>
          <w:bCs/>
        </w:rPr>
      </w:pPr>
    </w:p>
    <w:p w14:paraId="4676A922" w14:textId="77777777" w:rsidR="00153275" w:rsidRDefault="003C7557" w:rsidP="00153275">
      <w:pPr>
        <w:pStyle w:val="BodyTextIndent"/>
        <w:numPr>
          <w:ilvl w:val="0"/>
          <w:numId w:val="3"/>
        </w:numPr>
      </w:pPr>
      <w:r>
        <w:t xml:space="preserve">Narrative Overview:   About 3-5 pages.  Introduction of the collection. What have you learned in your masters program?  </w:t>
      </w:r>
      <w:proofErr w:type="gramStart"/>
      <w:r>
        <w:t>Explanation of how the courses you have taken have</w:t>
      </w:r>
      <w:proofErr w:type="gramEnd"/>
      <w:r>
        <w:t xml:space="preserve"> developed your thinking. </w:t>
      </w:r>
    </w:p>
    <w:p w14:paraId="514345E2" w14:textId="77777777" w:rsidR="00153275" w:rsidRDefault="00153275" w:rsidP="00153275">
      <w:pPr>
        <w:pStyle w:val="BodyTextIndent"/>
      </w:pPr>
    </w:p>
    <w:p w14:paraId="1CDCC259" w14:textId="77777777" w:rsidR="00153275" w:rsidRPr="00A015F9" w:rsidRDefault="003C7557" w:rsidP="00153275">
      <w:pPr>
        <w:pStyle w:val="BodyTextIndent"/>
        <w:numPr>
          <w:ilvl w:val="0"/>
          <w:numId w:val="3"/>
        </w:numPr>
      </w:pPr>
      <w:r w:rsidRPr="00153275">
        <w:t xml:space="preserve">Student Artifacts.  Typically 4-6 </w:t>
      </w:r>
      <w:r w:rsidR="00153275" w:rsidRPr="00153275">
        <w:t xml:space="preserve">artifacts (from coursework, field experiences, conferences, </w:t>
      </w:r>
      <w:proofErr w:type="spellStart"/>
      <w:r w:rsidR="00153275" w:rsidRPr="00153275">
        <w:t>etc</w:t>
      </w:r>
      <w:proofErr w:type="spellEnd"/>
      <w:r w:rsidR="00153275" w:rsidRPr="00153275">
        <w:t xml:space="preserve">).  For each, provide </w:t>
      </w:r>
      <w:r w:rsidR="00153275">
        <w:t xml:space="preserve">a 1-2 page Artifact Narrative </w:t>
      </w:r>
      <w:r w:rsidR="00153275" w:rsidRPr="00153275">
        <w:t>summary of the artifact</w:t>
      </w:r>
      <w:r w:rsidR="00153275">
        <w:t xml:space="preserve"> and how it demonstrates</w:t>
      </w:r>
      <w:r w:rsidR="00153275" w:rsidRPr="00153275">
        <w:t xml:space="preserve"> the graduate</w:t>
      </w:r>
      <w:r w:rsidR="00153275">
        <w:t xml:space="preserve"> competencies and/or </w:t>
      </w:r>
      <w:r w:rsidR="00153275" w:rsidRPr="00153275">
        <w:t xml:space="preserve">special focus areas, and </w:t>
      </w:r>
      <w:r w:rsidR="00153275">
        <w:t xml:space="preserve">how it contributes to your </w:t>
      </w:r>
      <w:r w:rsidR="00153275" w:rsidRPr="00153275">
        <w:t>overall professional development.</w:t>
      </w:r>
    </w:p>
    <w:p w14:paraId="3822D8B8" w14:textId="77777777" w:rsidR="003C7557" w:rsidRDefault="003C7557">
      <w:pPr>
        <w:rPr>
          <w:bCs/>
        </w:rPr>
      </w:pPr>
    </w:p>
    <w:p w14:paraId="2BE0DE77" w14:textId="77777777" w:rsidR="00680BE8" w:rsidRPr="00AE6ECF" w:rsidRDefault="003C7557">
      <w:pPr>
        <w:rPr>
          <w:b/>
          <w:bCs/>
        </w:rPr>
      </w:pPr>
      <w:r w:rsidRPr="00AE6ECF">
        <w:rPr>
          <w:b/>
          <w:bCs/>
          <w:u w:val="single"/>
        </w:rPr>
        <w:t>Review</w:t>
      </w:r>
      <w:r w:rsidRPr="00AE6ECF">
        <w:rPr>
          <w:b/>
          <w:bCs/>
        </w:rPr>
        <w:t>:</w:t>
      </w:r>
    </w:p>
    <w:p w14:paraId="6CC349FA" w14:textId="77777777" w:rsidR="00680BE8" w:rsidRPr="00E00F6D" w:rsidRDefault="00680BE8" w:rsidP="00680BE8">
      <w:pPr>
        <w:widowControl w:val="0"/>
        <w:autoSpaceDE w:val="0"/>
        <w:autoSpaceDN w:val="0"/>
        <w:adjustRightInd w:val="0"/>
        <w:rPr>
          <w:rFonts w:ascii="Times-Roman" w:hAnsi="Times-Roman"/>
          <w:b/>
          <w:sz w:val="28"/>
          <w:szCs w:val="28"/>
        </w:rPr>
      </w:pPr>
    </w:p>
    <w:p w14:paraId="1AF9F85B" w14:textId="77777777" w:rsidR="00680BE8" w:rsidRPr="00680BE8" w:rsidRDefault="00680BE8" w:rsidP="00680BE8">
      <w:pPr>
        <w:widowControl w:val="0"/>
        <w:autoSpaceDE w:val="0"/>
        <w:autoSpaceDN w:val="0"/>
        <w:adjustRightInd w:val="0"/>
        <w:rPr>
          <w:rFonts w:ascii="Times-Roman" w:hAnsi="Times-Roman"/>
        </w:rPr>
      </w:pPr>
      <w:r w:rsidRPr="00680BE8">
        <w:rPr>
          <w:rFonts w:ascii="Times-Roman" w:hAnsi="Times-Roman"/>
        </w:rPr>
        <w:t xml:space="preserve">The student will electronically submit the portfolio and participate in an oral defense of the portfolio </w:t>
      </w:r>
      <w:r w:rsidRPr="00680BE8">
        <w:rPr>
          <w:bCs/>
        </w:rPr>
        <w:t>after each committee member has reviewed materials</w:t>
      </w:r>
      <w:r w:rsidRPr="00680BE8">
        <w:rPr>
          <w:rFonts w:ascii="Times-Roman" w:hAnsi="Times-Roman"/>
        </w:rPr>
        <w:t xml:space="preserve"> to discuss the rationale for their artifact selections. The portfolio must be submitted to the committee at least two weeks prior to the oral defense.  </w:t>
      </w:r>
    </w:p>
    <w:p w14:paraId="65D75190" w14:textId="77777777" w:rsidR="00153275" w:rsidRPr="00E00F6D" w:rsidRDefault="00153275" w:rsidP="00680BE8">
      <w:pPr>
        <w:widowControl w:val="0"/>
        <w:autoSpaceDE w:val="0"/>
        <w:autoSpaceDN w:val="0"/>
        <w:adjustRightInd w:val="0"/>
        <w:rPr>
          <w:rFonts w:ascii="Times-Roman" w:hAnsi="Times-Roman"/>
          <w:b/>
        </w:rPr>
      </w:pPr>
    </w:p>
    <w:p w14:paraId="1060F7ED" w14:textId="77777777" w:rsidR="00AE6ECF" w:rsidRPr="00AE6ECF" w:rsidRDefault="00153275" w:rsidP="00680BE8">
      <w:pPr>
        <w:widowControl w:val="0"/>
        <w:autoSpaceDE w:val="0"/>
        <w:autoSpaceDN w:val="0"/>
        <w:adjustRightInd w:val="0"/>
        <w:rPr>
          <w:rFonts w:ascii="Times-Roman" w:hAnsi="Times-Roman"/>
          <w:b/>
          <w:u w:val="single"/>
        </w:rPr>
      </w:pPr>
      <w:r>
        <w:rPr>
          <w:rFonts w:ascii="Times-Roman" w:hAnsi="Times-Roman"/>
          <w:b/>
          <w:u w:val="single"/>
        </w:rPr>
        <w:t>Competencies and Focus Areas:</w:t>
      </w:r>
    </w:p>
    <w:p w14:paraId="7314072D" w14:textId="77777777" w:rsidR="00AE6ECF" w:rsidRPr="00AE6ECF" w:rsidRDefault="00AE6ECF" w:rsidP="00680BE8">
      <w:pPr>
        <w:widowControl w:val="0"/>
        <w:autoSpaceDE w:val="0"/>
        <w:autoSpaceDN w:val="0"/>
        <w:adjustRightInd w:val="0"/>
        <w:rPr>
          <w:rFonts w:ascii="Times-Roman" w:hAnsi="Times-Roman"/>
        </w:rPr>
      </w:pPr>
    </w:p>
    <w:p w14:paraId="79ABBD27" w14:textId="77777777" w:rsidR="000A192B" w:rsidRDefault="005930BE" w:rsidP="00680BE8">
      <w:pPr>
        <w:widowControl w:val="0"/>
        <w:autoSpaceDE w:val="0"/>
        <w:autoSpaceDN w:val="0"/>
        <w:adjustRightInd w:val="0"/>
        <w:rPr>
          <w:rFonts w:ascii="Times-Roman" w:hAnsi="Times-Roman"/>
        </w:rPr>
      </w:pPr>
      <w:r>
        <w:rPr>
          <w:rFonts w:ascii="Times-Roman" w:hAnsi="Times-Roman"/>
        </w:rPr>
        <w:t>The artifacts you chose for your portfolio must meet each of the six graduate competencies and two focus areas at least once in a substanti</w:t>
      </w:r>
      <w:r w:rsidR="000A192B">
        <w:rPr>
          <w:rFonts w:ascii="Times-Roman" w:hAnsi="Times-Roman"/>
        </w:rPr>
        <w:t xml:space="preserve">ve way.  It is likely that one artifact will address more than one competency or focus area.  </w:t>
      </w:r>
    </w:p>
    <w:p w14:paraId="10F6DB9C" w14:textId="77777777" w:rsidR="000A192B" w:rsidRDefault="000A192B" w:rsidP="00680BE8">
      <w:pPr>
        <w:widowControl w:val="0"/>
        <w:autoSpaceDE w:val="0"/>
        <w:autoSpaceDN w:val="0"/>
        <w:adjustRightInd w:val="0"/>
        <w:rPr>
          <w:rFonts w:ascii="Times-Roman" w:hAnsi="Times-Roman"/>
        </w:rPr>
      </w:pPr>
    </w:p>
    <w:p w14:paraId="62643F82" w14:textId="4C4730B4" w:rsidR="00680BE8" w:rsidRPr="00AE6ECF" w:rsidRDefault="00680BE8" w:rsidP="00680BE8">
      <w:pPr>
        <w:widowControl w:val="0"/>
        <w:autoSpaceDE w:val="0"/>
        <w:autoSpaceDN w:val="0"/>
        <w:adjustRightInd w:val="0"/>
        <w:rPr>
          <w:rFonts w:ascii="Times-Roman" w:hAnsi="Times-Roman"/>
        </w:rPr>
      </w:pPr>
      <w:r w:rsidRPr="00AE6ECF">
        <w:rPr>
          <w:rFonts w:ascii="Times-Roman" w:hAnsi="Times-Roman"/>
        </w:rPr>
        <w:t xml:space="preserve">Examples provided </w:t>
      </w:r>
      <w:r w:rsidR="000A192B">
        <w:rPr>
          <w:rFonts w:ascii="Times-Roman" w:hAnsi="Times-Roman"/>
        </w:rPr>
        <w:t xml:space="preserve">below </w:t>
      </w:r>
      <w:r w:rsidRPr="00AE6ECF">
        <w:rPr>
          <w:rFonts w:ascii="Times-Roman" w:hAnsi="Times-Roman"/>
        </w:rPr>
        <w:t xml:space="preserve">are designed to show some possible ideas </w:t>
      </w:r>
      <w:r w:rsidR="000A192B">
        <w:rPr>
          <w:rFonts w:ascii="Times-Roman" w:hAnsi="Times-Roman"/>
        </w:rPr>
        <w:t xml:space="preserve">of materials from your program </w:t>
      </w:r>
      <w:r w:rsidRPr="00AE6ECF">
        <w:rPr>
          <w:rFonts w:ascii="Times-Roman" w:hAnsi="Times-Roman"/>
        </w:rPr>
        <w:t xml:space="preserve">that could be used, but elements of the portfolio are not limited to this list. </w:t>
      </w:r>
    </w:p>
    <w:p w14:paraId="3AE5494D" w14:textId="77777777" w:rsidR="00680BE8" w:rsidRPr="00E00F6D" w:rsidRDefault="00680BE8" w:rsidP="00680BE8">
      <w:pPr>
        <w:widowControl w:val="0"/>
        <w:autoSpaceDE w:val="0"/>
        <w:autoSpaceDN w:val="0"/>
        <w:adjustRightInd w:val="0"/>
        <w:rPr>
          <w:rFonts w:ascii="Times-Roman" w:hAnsi="Times-Roman"/>
        </w:rPr>
      </w:pPr>
    </w:p>
    <w:p w14:paraId="0939D81B" w14:textId="77777777" w:rsidR="00AE6ECF" w:rsidRPr="00AE6ECF" w:rsidRDefault="00AE6ECF" w:rsidP="00680BE8">
      <w:pPr>
        <w:widowControl w:val="0"/>
        <w:autoSpaceDE w:val="0"/>
        <w:autoSpaceDN w:val="0"/>
        <w:adjustRightInd w:val="0"/>
        <w:rPr>
          <w:rFonts w:ascii="Times-Roman" w:hAnsi="Times-Roman"/>
          <w:b/>
          <w:i/>
        </w:rPr>
      </w:pPr>
      <w:bookmarkStart w:id="0" w:name="_GoBack"/>
      <w:r w:rsidRPr="00AE6ECF">
        <w:rPr>
          <w:rFonts w:ascii="Times-Roman" w:hAnsi="Times-Roman"/>
          <w:b/>
          <w:i/>
        </w:rPr>
        <w:t>Graduate Competencies:</w:t>
      </w:r>
    </w:p>
    <w:p w14:paraId="0B244214" w14:textId="77777777" w:rsidR="00AE6ECF" w:rsidRDefault="00AE6ECF" w:rsidP="00680BE8">
      <w:pPr>
        <w:widowControl w:val="0"/>
        <w:autoSpaceDE w:val="0"/>
        <w:autoSpaceDN w:val="0"/>
        <w:adjustRightInd w:val="0"/>
        <w:rPr>
          <w:rFonts w:ascii="Times-Roman" w:hAnsi="Times-Roman"/>
          <w:i/>
        </w:rPr>
      </w:pPr>
    </w:p>
    <w:p w14:paraId="1E89F920" w14:textId="77777777" w:rsidR="00242FA3" w:rsidRPr="0018197A" w:rsidRDefault="00242FA3" w:rsidP="00242FA3">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ja-JP"/>
        </w:rPr>
      </w:pPr>
      <w:r w:rsidRPr="0018197A">
        <w:rPr>
          <w:b/>
          <w:bCs/>
          <w:color w:val="000000"/>
          <w:lang w:eastAsia="ja-JP"/>
        </w:rPr>
        <w:t xml:space="preserve">Synthesize knowledge: </w:t>
      </w:r>
    </w:p>
    <w:p w14:paraId="17929A80" w14:textId="77777777" w:rsidR="009C756A" w:rsidRPr="009C756A" w:rsidRDefault="009C756A" w:rsidP="00242FA3">
      <w:pPr>
        <w:pStyle w:val="ListParagraph"/>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ja-JP"/>
        </w:rPr>
      </w:pPr>
      <w:r w:rsidRPr="00F37192">
        <w:rPr>
          <w:color w:val="101010"/>
        </w:rPr>
        <w:t xml:space="preserve">The </w:t>
      </w:r>
      <w:r>
        <w:rPr>
          <w:color w:val="101010"/>
        </w:rPr>
        <w:t>candidate</w:t>
      </w:r>
      <w:r w:rsidRPr="00F37192">
        <w:rPr>
          <w:color w:val="101010"/>
        </w:rPr>
        <w:t xml:space="preserve"> will read and synthesize educational literature related to his/her discipline; describe fundamental theories of human learning; and apply knowledge of human learning, diversity, and effective pedagogy to the solution of practical problems in his/her discipline</w:t>
      </w:r>
      <w:r>
        <w:rPr>
          <w:color w:val="101010"/>
        </w:rPr>
        <w:t xml:space="preserve">.  </w:t>
      </w:r>
    </w:p>
    <w:p w14:paraId="75E21D88" w14:textId="77777777" w:rsidR="00242FA3" w:rsidRPr="00397738" w:rsidRDefault="00242FA3" w:rsidP="00242FA3">
      <w:pPr>
        <w:widowControl w:val="0"/>
        <w:tabs>
          <w:tab w:val="left" w:pos="220"/>
        </w:tabs>
        <w:autoSpaceDE w:val="0"/>
        <w:autoSpaceDN w:val="0"/>
        <w:adjustRightInd w:val="0"/>
        <w:rPr>
          <w:rFonts w:ascii="Times-Roman" w:hAnsi="Times-Roman"/>
        </w:rPr>
      </w:pPr>
    </w:p>
    <w:p w14:paraId="7E93E9B5" w14:textId="77777777" w:rsidR="00242FA3" w:rsidRPr="0018197A" w:rsidRDefault="00242FA3" w:rsidP="00242FA3">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ja-JP"/>
        </w:rPr>
      </w:pPr>
      <w:r w:rsidRPr="0018197A">
        <w:rPr>
          <w:b/>
          <w:bCs/>
          <w:color w:val="000000"/>
          <w:lang w:eastAsia="ja-JP"/>
        </w:rPr>
        <w:t xml:space="preserve">Create &amp; Discover knowledge: </w:t>
      </w:r>
    </w:p>
    <w:p w14:paraId="71EC0E46" w14:textId="77777777" w:rsidR="009C756A" w:rsidRPr="009C756A" w:rsidRDefault="00242FA3" w:rsidP="00242FA3">
      <w:pPr>
        <w:pStyle w:val="ListParagraph"/>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ja-JP"/>
        </w:rPr>
      </w:pPr>
      <w:r w:rsidRPr="009C756A">
        <w:rPr>
          <w:color w:val="000000"/>
          <w:lang w:eastAsia="ja-JP"/>
        </w:rPr>
        <w:t xml:space="preserve">The candidate creates and discovers knowledge to further the state of the art and science of education. </w:t>
      </w:r>
      <w:r w:rsidR="009C756A" w:rsidRPr="00F37192">
        <w:rPr>
          <w:color w:val="101010"/>
        </w:rPr>
        <w:t xml:space="preserve">The </w:t>
      </w:r>
      <w:r w:rsidR="009C756A">
        <w:rPr>
          <w:color w:val="101010"/>
        </w:rPr>
        <w:t>candidate</w:t>
      </w:r>
      <w:r w:rsidR="009C756A" w:rsidRPr="00F37192">
        <w:rPr>
          <w:color w:val="101010"/>
        </w:rPr>
        <w:t xml:space="preserve"> will describe common research methods in his/her discipline, read and evaluate educational research, adhere to ethical standards for the responsible conduct of research, and apply research findings to the solution of practical problems in his/her discipline. </w:t>
      </w:r>
    </w:p>
    <w:p w14:paraId="294AA82D" w14:textId="77777777" w:rsidR="0050347B" w:rsidRPr="00397738" w:rsidRDefault="0050347B" w:rsidP="0050347B">
      <w:pPr>
        <w:widowControl w:val="0"/>
        <w:tabs>
          <w:tab w:val="left" w:pos="220"/>
        </w:tabs>
        <w:autoSpaceDE w:val="0"/>
        <w:autoSpaceDN w:val="0"/>
        <w:adjustRightInd w:val="0"/>
        <w:rPr>
          <w:rFonts w:ascii="Times-Roman" w:hAnsi="Times-Roman"/>
        </w:rPr>
      </w:pPr>
    </w:p>
    <w:p w14:paraId="2CA9FDD3" w14:textId="77777777" w:rsidR="0050347B" w:rsidRPr="0018197A" w:rsidRDefault="0050347B" w:rsidP="0050347B">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ja-JP"/>
        </w:rPr>
      </w:pPr>
      <w:r w:rsidRPr="0018197A">
        <w:rPr>
          <w:b/>
          <w:bCs/>
          <w:color w:val="000000"/>
          <w:lang w:eastAsia="ja-JP"/>
        </w:rPr>
        <w:t xml:space="preserve">Communicate knowledge: </w:t>
      </w:r>
    </w:p>
    <w:p w14:paraId="107B513D" w14:textId="2ADB9FBD" w:rsidR="0050347B" w:rsidRDefault="0050347B" w:rsidP="0050347B">
      <w:pPr>
        <w:pStyle w:val="ListParagraph"/>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ja-JP"/>
        </w:rPr>
      </w:pPr>
      <w:r w:rsidRPr="0018197A">
        <w:rPr>
          <w:color w:val="000000"/>
          <w:lang w:eastAsia="ja-JP"/>
        </w:rPr>
        <w:t>The candidate speaks, writes, and employs relevant media to effectively communicate knowledge on substantive topics to others.</w:t>
      </w:r>
      <w:r w:rsidR="009C756A">
        <w:rPr>
          <w:color w:val="000000"/>
          <w:lang w:eastAsia="ja-JP"/>
        </w:rPr>
        <w:t xml:space="preserve"> </w:t>
      </w:r>
      <w:r w:rsidR="009C756A" w:rsidRPr="00F37192">
        <w:rPr>
          <w:color w:val="101010"/>
        </w:rPr>
        <w:t xml:space="preserve">The </w:t>
      </w:r>
      <w:r w:rsidR="009C756A">
        <w:rPr>
          <w:color w:val="101010"/>
        </w:rPr>
        <w:t>candidate</w:t>
      </w:r>
      <w:r w:rsidR="009C756A" w:rsidRPr="00F37192">
        <w:rPr>
          <w:color w:val="101010"/>
        </w:rPr>
        <w:t xml:space="preserve"> will communicate effectively in oral and written formats including the ability to communicate content from his/her discipline through the design and delivery of effective teaching/learning activities that integrate content and pedagogy, adapt instruction and support services to the needs of diverse learners, and assess appropriately learning outcomes.</w:t>
      </w:r>
    </w:p>
    <w:p w14:paraId="30228656" w14:textId="77777777" w:rsidR="0050347B" w:rsidRPr="00397738" w:rsidRDefault="0050347B" w:rsidP="0050347B">
      <w:pPr>
        <w:widowControl w:val="0"/>
        <w:tabs>
          <w:tab w:val="left" w:pos="220"/>
        </w:tabs>
        <w:autoSpaceDE w:val="0"/>
        <w:autoSpaceDN w:val="0"/>
        <w:adjustRightInd w:val="0"/>
        <w:rPr>
          <w:rFonts w:ascii="Times-Roman" w:hAnsi="Times-Roman"/>
        </w:rPr>
      </w:pPr>
    </w:p>
    <w:p w14:paraId="2F093414" w14:textId="77777777" w:rsidR="00242FA3" w:rsidRDefault="00242FA3" w:rsidP="00242FA3">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lang w:eastAsia="ja-JP"/>
        </w:rPr>
      </w:pPr>
      <w:r w:rsidRPr="0018197A">
        <w:rPr>
          <w:b/>
          <w:bCs/>
          <w:color w:val="000000"/>
          <w:lang w:eastAsia="ja-JP"/>
        </w:rPr>
        <w:t xml:space="preserve">Think critically and reflectively: </w:t>
      </w:r>
    </w:p>
    <w:p w14:paraId="0F1FA6A1" w14:textId="6836D9A2" w:rsidR="00242FA3" w:rsidRPr="003D3BF5" w:rsidRDefault="00242FA3" w:rsidP="00242FA3">
      <w:pPr>
        <w:pStyle w:val="ListParagraph"/>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lang w:eastAsia="ja-JP"/>
        </w:rPr>
      </w:pPr>
      <w:r w:rsidRPr="0018197A">
        <w:rPr>
          <w:color w:val="000000"/>
          <w:lang w:eastAsia="ja-JP"/>
        </w:rPr>
        <w:t xml:space="preserve">The candidate is a reflective practitioner who continually evaluates the effects of his/her choices and actions on others (students, parents, and other professionals in the learning community). </w:t>
      </w:r>
      <w:r w:rsidR="009C756A">
        <w:rPr>
          <w:color w:val="000000"/>
          <w:lang w:eastAsia="ja-JP"/>
        </w:rPr>
        <w:t xml:space="preserve"> </w:t>
      </w:r>
      <w:r w:rsidR="009C756A" w:rsidRPr="00F37192">
        <w:rPr>
          <w:color w:val="101010"/>
        </w:rPr>
        <w:t xml:space="preserve">The </w:t>
      </w:r>
      <w:r w:rsidR="009C756A">
        <w:rPr>
          <w:color w:val="101010"/>
        </w:rPr>
        <w:t>candidate</w:t>
      </w:r>
      <w:r w:rsidR="009C756A" w:rsidRPr="00F37192">
        <w:rPr>
          <w:color w:val="101010"/>
        </w:rPr>
        <w:t xml:space="preserve"> will develop a personal vision of inclusive educational practice, identify the relationship of his/her discipline to the broader field of education, and critically evaluate theory and practice.</w:t>
      </w:r>
    </w:p>
    <w:p w14:paraId="607326CB" w14:textId="77777777" w:rsidR="0050347B" w:rsidRPr="0018197A" w:rsidRDefault="0050347B" w:rsidP="0050347B">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ja-JP"/>
        </w:rPr>
      </w:pPr>
      <w:r w:rsidRPr="0018197A">
        <w:rPr>
          <w:b/>
          <w:bCs/>
          <w:color w:val="000000"/>
          <w:lang w:eastAsia="ja-JP"/>
        </w:rPr>
        <w:t xml:space="preserve">Engage in professional development: </w:t>
      </w:r>
    </w:p>
    <w:p w14:paraId="3CA419F4" w14:textId="4C28E5F9" w:rsidR="0050347B" w:rsidRDefault="0050347B" w:rsidP="0050347B">
      <w:pPr>
        <w:pStyle w:val="ListParagraph"/>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ja-JP"/>
        </w:rPr>
      </w:pPr>
      <w:r w:rsidRPr="0018197A">
        <w:rPr>
          <w:color w:val="000000"/>
          <w:lang w:eastAsia="ja-JP"/>
        </w:rPr>
        <w:t>The candidate actively seeks out learning opport</w:t>
      </w:r>
      <w:r>
        <w:rPr>
          <w:color w:val="000000"/>
          <w:lang w:eastAsia="ja-JP"/>
        </w:rPr>
        <w:t>unities to grow professionally.</w:t>
      </w:r>
      <w:r w:rsidR="009C756A">
        <w:rPr>
          <w:color w:val="000000"/>
          <w:lang w:eastAsia="ja-JP"/>
        </w:rPr>
        <w:t xml:space="preserve"> </w:t>
      </w:r>
      <w:r w:rsidR="009C756A" w:rsidRPr="00F37192">
        <w:rPr>
          <w:color w:val="101010"/>
        </w:rPr>
        <w:t xml:space="preserve">The </w:t>
      </w:r>
      <w:r w:rsidR="009C756A">
        <w:rPr>
          <w:color w:val="101010"/>
        </w:rPr>
        <w:t>candidate</w:t>
      </w:r>
      <w:r w:rsidR="009C756A" w:rsidRPr="00F37192">
        <w:rPr>
          <w:color w:val="101010"/>
        </w:rPr>
        <w:t xml:space="preserve"> will demonstrate the disposition for life-long learning and continuous professional development.</w:t>
      </w:r>
    </w:p>
    <w:p w14:paraId="29B7C696" w14:textId="77777777" w:rsidR="0050347B" w:rsidRDefault="0050347B" w:rsidP="0050347B">
      <w:pPr>
        <w:widowControl w:val="0"/>
        <w:tabs>
          <w:tab w:val="left" w:pos="220"/>
        </w:tabs>
        <w:autoSpaceDE w:val="0"/>
        <w:autoSpaceDN w:val="0"/>
        <w:adjustRightInd w:val="0"/>
        <w:rPr>
          <w:rFonts w:ascii="Times-Roman" w:hAnsi="Times-Roman"/>
        </w:rPr>
      </w:pPr>
    </w:p>
    <w:p w14:paraId="46234B44" w14:textId="77777777" w:rsidR="00B61EF4" w:rsidRPr="00397738" w:rsidRDefault="00B61EF4" w:rsidP="0050347B">
      <w:pPr>
        <w:widowControl w:val="0"/>
        <w:tabs>
          <w:tab w:val="left" w:pos="220"/>
        </w:tabs>
        <w:autoSpaceDE w:val="0"/>
        <w:autoSpaceDN w:val="0"/>
        <w:adjustRightInd w:val="0"/>
        <w:rPr>
          <w:rFonts w:ascii="Times-Roman" w:hAnsi="Times-Roman"/>
        </w:rPr>
      </w:pPr>
    </w:p>
    <w:p w14:paraId="02485EB2" w14:textId="77777777" w:rsidR="0050347B" w:rsidRPr="0018197A" w:rsidRDefault="0050347B" w:rsidP="0050347B">
      <w:pPr>
        <w:pStyle w:val="ListParagraph"/>
        <w:numPr>
          <w:ilvl w:val="0"/>
          <w:numId w:val="13"/>
        </w:numPr>
      </w:pPr>
      <w:r w:rsidRPr="0018197A">
        <w:rPr>
          <w:b/>
          <w:bCs/>
          <w:color w:val="000000"/>
          <w:lang w:eastAsia="ja-JP"/>
        </w:rPr>
        <w:t xml:space="preserve">Participate actively in the profession: </w:t>
      </w:r>
    </w:p>
    <w:p w14:paraId="2D65741F" w14:textId="519C448C" w:rsidR="0050347B" w:rsidRPr="00397738" w:rsidRDefault="0050347B" w:rsidP="0050347B">
      <w:pPr>
        <w:pStyle w:val="ListParagraph"/>
        <w:numPr>
          <w:ilvl w:val="1"/>
          <w:numId w:val="13"/>
        </w:numPr>
      </w:pPr>
      <w:r w:rsidRPr="0018197A">
        <w:rPr>
          <w:color w:val="000000"/>
          <w:lang w:eastAsia="ja-JP"/>
        </w:rPr>
        <w:t xml:space="preserve">The candidate actively participates in the profession through such means as communicating scholarly discoveries, offering learning opportunities to others, and engaging in efforts to serve the greater good. A key feature of Teacher Education at Purdue as a </w:t>
      </w:r>
      <w:r>
        <w:rPr>
          <w:color w:val="000000"/>
          <w:lang w:eastAsia="ja-JP"/>
        </w:rPr>
        <w:t xml:space="preserve">research extensive university. </w:t>
      </w:r>
      <w:r w:rsidR="009C756A">
        <w:rPr>
          <w:color w:val="000000"/>
          <w:lang w:eastAsia="ja-JP"/>
        </w:rPr>
        <w:t xml:space="preserve"> </w:t>
      </w:r>
      <w:r w:rsidR="009C756A" w:rsidRPr="00F37192">
        <w:rPr>
          <w:color w:val="101010"/>
        </w:rPr>
        <w:t xml:space="preserve">The </w:t>
      </w:r>
      <w:r w:rsidR="009C756A">
        <w:rPr>
          <w:color w:val="101010"/>
        </w:rPr>
        <w:t>candidate</w:t>
      </w:r>
      <w:r w:rsidR="009C756A" w:rsidRPr="00F37192">
        <w:rPr>
          <w:color w:val="101010"/>
        </w:rPr>
        <w:t xml:space="preserve"> will identify communities of practice within his/her discipline and participate within these communities according to the ethical standards of the discipline.</w:t>
      </w:r>
    </w:p>
    <w:p w14:paraId="59DD56B8" w14:textId="1C1616E0" w:rsidR="0050347B" w:rsidRPr="0050347B" w:rsidRDefault="0050347B" w:rsidP="0050347B">
      <w:pPr>
        <w:widowControl w:val="0"/>
        <w:tabs>
          <w:tab w:val="left" w:pos="220"/>
        </w:tabs>
        <w:autoSpaceDE w:val="0"/>
        <w:autoSpaceDN w:val="0"/>
        <w:adjustRightInd w:val="0"/>
        <w:rPr>
          <w:rFonts w:ascii="Times-Roman" w:hAnsi="Times-Roman"/>
          <w:i/>
        </w:rPr>
      </w:pPr>
      <w:r w:rsidRPr="0050347B">
        <w:rPr>
          <w:rFonts w:ascii="Times-Roman" w:hAnsi="Times-Roman"/>
          <w:i/>
        </w:rPr>
        <w:t>Focus Areas:</w:t>
      </w:r>
    </w:p>
    <w:p w14:paraId="1B54B7A6" w14:textId="77777777" w:rsidR="0050347B" w:rsidRPr="00397738" w:rsidRDefault="0050347B" w:rsidP="0050347B">
      <w:pPr>
        <w:widowControl w:val="0"/>
        <w:tabs>
          <w:tab w:val="left" w:pos="220"/>
        </w:tabs>
        <w:autoSpaceDE w:val="0"/>
        <w:autoSpaceDN w:val="0"/>
        <w:adjustRightInd w:val="0"/>
        <w:rPr>
          <w:rFonts w:ascii="Times-Roman" w:hAnsi="Times-Roman"/>
        </w:rPr>
      </w:pPr>
    </w:p>
    <w:p w14:paraId="132F3FD4" w14:textId="77777777" w:rsidR="0050347B" w:rsidRPr="003D3BF5" w:rsidRDefault="0050347B" w:rsidP="0050347B">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ja-JP"/>
        </w:rPr>
      </w:pPr>
      <w:r w:rsidRPr="003D3BF5">
        <w:rPr>
          <w:b/>
          <w:bCs/>
          <w:color w:val="000000"/>
          <w:lang w:eastAsia="ja-JP"/>
        </w:rPr>
        <w:t xml:space="preserve">Adapt instruction to diverse learners: </w:t>
      </w:r>
    </w:p>
    <w:p w14:paraId="16B06336" w14:textId="77777777" w:rsidR="0050347B" w:rsidRDefault="0050347B" w:rsidP="0050347B">
      <w:pPr>
        <w:pStyle w:val="ListParagraph"/>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ja-JP"/>
        </w:rPr>
      </w:pPr>
      <w:r w:rsidRPr="003D3BF5">
        <w:rPr>
          <w:color w:val="000000"/>
          <w:lang w:eastAsia="ja-JP"/>
        </w:rPr>
        <w:t xml:space="preserve">The candidate understands how students differ in their approaches to learning and creates instructional opportunities that are adapted to diverse learners. The candidate plans instruction based upon knowledge of subject matter, students, the community, and curriculum goals. </w:t>
      </w:r>
    </w:p>
    <w:p w14:paraId="4D42F991" w14:textId="77777777" w:rsidR="0050347B" w:rsidRPr="0050347B" w:rsidRDefault="0050347B" w:rsidP="005034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ja-JP"/>
        </w:rPr>
      </w:pPr>
    </w:p>
    <w:p w14:paraId="1178115A" w14:textId="77777777" w:rsidR="0050347B" w:rsidRPr="00187127" w:rsidRDefault="0050347B" w:rsidP="0050347B">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ja-JP"/>
        </w:rPr>
      </w:pPr>
      <w:r w:rsidRPr="00187127">
        <w:rPr>
          <w:b/>
          <w:bCs/>
          <w:color w:val="000000"/>
          <w:lang w:eastAsia="ja-JP"/>
        </w:rPr>
        <w:t xml:space="preserve">Apply current and emerging technologies: </w:t>
      </w:r>
    </w:p>
    <w:p w14:paraId="463E7406" w14:textId="77777777" w:rsidR="0050347B" w:rsidRPr="00187127" w:rsidRDefault="0050347B" w:rsidP="0050347B">
      <w:pPr>
        <w:pStyle w:val="ListParagraph"/>
        <w:widowControl w:val="0"/>
        <w:numPr>
          <w:ilvl w:val="1"/>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ja-JP"/>
        </w:rPr>
      </w:pPr>
      <w:r w:rsidRPr="00187127">
        <w:rPr>
          <w:color w:val="000000"/>
          <w:lang w:eastAsia="ja-JP"/>
        </w:rPr>
        <w:t xml:space="preserve">The candidate effectively applies relevant technologies to enhance students’ learning experiences, and actively seeks out opportunities to capitalize on emerging technologies. </w:t>
      </w:r>
    </w:p>
    <w:p w14:paraId="310399DA" w14:textId="77777777" w:rsidR="0050347B" w:rsidRPr="0050347B" w:rsidRDefault="0050347B" w:rsidP="00680BE8">
      <w:pPr>
        <w:widowControl w:val="0"/>
        <w:autoSpaceDE w:val="0"/>
        <w:autoSpaceDN w:val="0"/>
        <w:adjustRightInd w:val="0"/>
        <w:rPr>
          <w:rFonts w:ascii="Times-Roman" w:hAnsi="Times-Roman"/>
        </w:rPr>
      </w:pPr>
    </w:p>
    <w:bookmarkEnd w:id="0"/>
    <w:p w14:paraId="483321E3" w14:textId="77777777" w:rsidR="0050347B" w:rsidRDefault="0050347B" w:rsidP="00AE6ECF">
      <w:pPr>
        <w:widowControl w:val="0"/>
        <w:autoSpaceDE w:val="0"/>
        <w:autoSpaceDN w:val="0"/>
        <w:adjustRightInd w:val="0"/>
        <w:ind w:firstLine="360"/>
        <w:rPr>
          <w:rFonts w:ascii="Times-Roman" w:hAnsi="Times-Roman"/>
          <w:b/>
        </w:rPr>
      </w:pPr>
    </w:p>
    <w:p w14:paraId="6CA7E6EA" w14:textId="77777777" w:rsidR="0050347B" w:rsidRDefault="0050347B" w:rsidP="00AE6ECF">
      <w:pPr>
        <w:widowControl w:val="0"/>
        <w:autoSpaceDE w:val="0"/>
        <w:autoSpaceDN w:val="0"/>
        <w:adjustRightInd w:val="0"/>
        <w:ind w:firstLine="360"/>
        <w:rPr>
          <w:rFonts w:ascii="Times-Roman" w:hAnsi="Times-Roman"/>
          <w:b/>
        </w:rPr>
      </w:pPr>
    </w:p>
    <w:p w14:paraId="00529CF7" w14:textId="77777777" w:rsidR="0050347B" w:rsidRDefault="0050347B" w:rsidP="00AE6ECF">
      <w:pPr>
        <w:widowControl w:val="0"/>
        <w:autoSpaceDE w:val="0"/>
        <w:autoSpaceDN w:val="0"/>
        <w:adjustRightInd w:val="0"/>
        <w:ind w:firstLine="360"/>
        <w:rPr>
          <w:rFonts w:ascii="Times-Roman" w:hAnsi="Times-Roman"/>
          <w:b/>
        </w:rPr>
      </w:pPr>
    </w:p>
    <w:p w14:paraId="6C0719BC" w14:textId="77777777" w:rsidR="00680BE8" w:rsidRDefault="00680BE8">
      <w:pPr>
        <w:rPr>
          <w:bCs/>
        </w:rPr>
      </w:pPr>
    </w:p>
    <w:p w14:paraId="6773386E" w14:textId="77777777" w:rsidR="00DC3AE8" w:rsidRDefault="00DC3AE8">
      <w:pPr>
        <w:rPr>
          <w:bCs/>
        </w:rPr>
      </w:pPr>
    </w:p>
    <w:p w14:paraId="4A48CCF8" w14:textId="77777777" w:rsidR="00DC3AE8" w:rsidRDefault="00DC3AE8">
      <w:pPr>
        <w:rPr>
          <w:bCs/>
        </w:rPr>
      </w:pPr>
    </w:p>
    <w:p w14:paraId="65EC2D58" w14:textId="77777777" w:rsidR="00DC3AE8" w:rsidRDefault="00DC3AE8">
      <w:pPr>
        <w:rPr>
          <w:bCs/>
        </w:rPr>
      </w:pPr>
    </w:p>
    <w:p w14:paraId="30946E59" w14:textId="77777777" w:rsidR="00DC3AE8" w:rsidRDefault="00DC3AE8">
      <w:pPr>
        <w:rPr>
          <w:bCs/>
        </w:rPr>
      </w:pPr>
    </w:p>
    <w:p w14:paraId="495A1CF4" w14:textId="77777777" w:rsidR="00DC3AE8" w:rsidRDefault="00DC3AE8">
      <w:pPr>
        <w:rPr>
          <w:bCs/>
        </w:rPr>
      </w:pPr>
    </w:p>
    <w:p w14:paraId="3B6856C2" w14:textId="77777777" w:rsidR="00DC3AE8" w:rsidRDefault="00DC3AE8">
      <w:pPr>
        <w:rPr>
          <w:bCs/>
        </w:rPr>
      </w:pPr>
    </w:p>
    <w:p w14:paraId="2CD530B0" w14:textId="77777777" w:rsidR="00DC3AE8" w:rsidRDefault="00DC3AE8">
      <w:pPr>
        <w:rPr>
          <w:bCs/>
        </w:rPr>
      </w:pPr>
    </w:p>
    <w:p w14:paraId="09B98C1C" w14:textId="77777777" w:rsidR="00DC3AE8" w:rsidRDefault="00DC3AE8">
      <w:pPr>
        <w:rPr>
          <w:bCs/>
        </w:rPr>
      </w:pPr>
    </w:p>
    <w:p w14:paraId="2E40BC2E" w14:textId="77777777" w:rsidR="00DC3AE8" w:rsidRDefault="00DC3AE8">
      <w:pPr>
        <w:rPr>
          <w:bCs/>
        </w:rPr>
      </w:pPr>
    </w:p>
    <w:p w14:paraId="22300F72" w14:textId="77519BFC" w:rsidR="00A12617" w:rsidRPr="00336E51" w:rsidRDefault="00336E51" w:rsidP="00336E51">
      <w:pPr>
        <w:rPr>
          <w:bCs/>
        </w:rPr>
      </w:pPr>
      <w:r>
        <w:rPr>
          <w:bCs/>
        </w:rPr>
        <w:br w:type="page"/>
      </w:r>
      <w:r w:rsidR="00A12617">
        <w:rPr>
          <w:rFonts w:ascii="Gill Sans MT" w:hAnsi="Gill Sans MT"/>
          <w:color w:val="000000"/>
          <w:sz w:val="23"/>
          <w:szCs w:val="23"/>
        </w:rPr>
        <w:lastRenderedPageBreak/>
        <w:t>SUMMARY TABLE</w:t>
      </w:r>
    </w:p>
    <w:p w14:paraId="1DC51A43" w14:textId="7FC3DF44" w:rsidR="00C07674" w:rsidRPr="00720353" w:rsidRDefault="00C07674" w:rsidP="00C07674">
      <w:pPr>
        <w:spacing w:line="276" w:lineRule="auto"/>
        <w:rPr>
          <w:rFonts w:ascii="Gill Sans MT" w:hAnsi="Gill Sans MT"/>
          <w:color w:val="000000"/>
          <w:sz w:val="23"/>
          <w:szCs w:val="23"/>
        </w:rPr>
      </w:pPr>
      <w:r w:rsidRPr="00720353">
        <w:rPr>
          <w:rFonts w:ascii="Gill Sans MT" w:hAnsi="Gill Sans MT"/>
          <w:color w:val="000000"/>
          <w:sz w:val="23"/>
          <w:szCs w:val="23"/>
        </w:rPr>
        <w:t xml:space="preserve">Using APA format where possible, list all </w:t>
      </w:r>
      <w:r>
        <w:rPr>
          <w:rFonts w:ascii="Gill Sans MT" w:hAnsi="Gill Sans MT"/>
          <w:color w:val="000000"/>
          <w:sz w:val="23"/>
          <w:szCs w:val="23"/>
        </w:rPr>
        <w:t xml:space="preserve">portfolio </w:t>
      </w:r>
      <w:r w:rsidRPr="00720353">
        <w:rPr>
          <w:rFonts w:ascii="Gill Sans MT" w:hAnsi="Gill Sans MT"/>
          <w:color w:val="000000"/>
          <w:sz w:val="23"/>
          <w:szCs w:val="23"/>
        </w:rPr>
        <w:t xml:space="preserve">artifacts </w:t>
      </w:r>
      <w:r>
        <w:rPr>
          <w:rFonts w:ascii="Gill Sans MT" w:hAnsi="Gill Sans MT"/>
          <w:color w:val="000000"/>
          <w:sz w:val="23"/>
          <w:szCs w:val="23"/>
        </w:rPr>
        <w:t xml:space="preserve">under the appropriate category (Education Courses, Other Courses, </w:t>
      </w:r>
      <w:proofErr w:type="spellStart"/>
      <w:r>
        <w:rPr>
          <w:rFonts w:ascii="Gill Sans MT" w:hAnsi="Gill Sans MT"/>
          <w:color w:val="000000"/>
          <w:sz w:val="23"/>
          <w:szCs w:val="23"/>
        </w:rPr>
        <w:t>etc</w:t>
      </w:r>
      <w:proofErr w:type="spellEnd"/>
      <w:r>
        <w:rPr>
          <w:rFonts w:ascii="Gill Sans MT" w:hAnsi="Gill Sans MT"/>
          <w:color w:val="000000"/>
          <w:sz w:val="23"/>
          <w:szCs w:val="23"/>
        </w:rPr>
        <w:t>)</w:t>
      </w:r>
      <w:r w:rsidRPr="00720353">
        <w:rPr>
          <w:rFonts w:ascii="Gill Sans MT" w:hAnsi="Gill Sans MT"/>
          <w:color w:val="000000"/>
          <w:sz w:val="23"/>
          <w:szCs w:val="23"/>
        </w:rPr>
        <w:t>. For each</w:t>
      </w:r>
      <w:r>
        <w:rPr>
          <w:rFonts w:ascii="Gill Sans MT" w:hAnsi="Gill Sans MT"/>
          <w:color w:val="000000"/>
          <w:sz w:val="23"/>
          <w:szCs w:val="23"/>
        </w:rPr>
        <w:t xml:space="preserve"> item</w:t>
      </w:r>
      <w:r w:rsidRPr="00720353">
        <w:rPr>
          <w:rFonts w:ascii="Gill Sans MT" w:hAnsi="Gill Sans MT"/>
          <w:color w:val="000000"/>
          <w:sz w:val="23"/>
          <w:szCs w:val="23"/>
        </w:rPr>
        <w:t xml:space="preserve">, put an “X” under </w:t>
      </w:r>
      <w:r>
        <w:rPr>
          <w:rFonts w:ascii="Gill Sans MT" w:hAnsi="Gill Sans MT"/>
          <w:color w:val="000000"/>
          <w:sz w:val="23"/>
          <w:szCs w:val="23"/>
        </w:rPr>
        <w:t>the</w:t>
      </w:r>
      <w:r w:rsidRPr="00720353">
        <w:rPr>
          <w:rFonts w:ascii="Gill Sans MT" w:hAnsi="Gill Sans MT"/>
          <w:color w:val="000000"/>
          <w:sz w:val="23"/>
          <w:szCs w:val="23"/>
        </w:rPr>
        <w:t xml:space="preserve"> graduate student competenc</w:t>
      </w:r>
      <w:r w:rsidR="00A12617">
        <w:rPr>
          <w:rFonts w:ascii="Gill Sans MT" w:hAnsi="Gill Sans MT"/>
          <w:color w:val="000000"/>
          <w:sz w:val="23"/>
          <w:szCs w:val="23"/>
        </w:rPr>
        <w:t>ies</w:t>
      </w:r>
      <w:r>
        <w:rPr>
          <w:rFonts w:ascii="Gill Sans MT" w:hAnsi="Gill Sans MT"/>
          <w:color w:val="000000"/>
          <w:sz w:val="23"/>
          <w:szCs w:val="23"/>
        </w:rPr>
        <w:t xml:space="preserve"> or focus areas </w:t>
      </w:r>
      <w:r w:rsidRPr="00720353">
        <w:rPr>
          <w:rFonts w:ascii="Gill Sans MT" w:hAnsi="Gill Sans MT"/>
          <w:color w:val="000000"/>
          <w:sz w:val="23"/>
          <w:szCs w:val="23"/>
        </w:rPr>
        <w:t>in the table that your artifact or experience addresses</w:t>
      </w:r>
      <w:r>
        <w:rPr>
          <w:rFonts w:ascii="Gill Sans MT" w:hAnsi="Gill Sans MT"/>
          <w:color w:val="000000"/>
          <w:sz w:val="23"/>
          <w:szCs w:val="23"/>
        </w:rPr>
        <w:t xml:space="preserve"> in a substantive way</w:t>
      </w:r>
      <w:r w:rsidRPr="00720353">
        <w:rPr>
          <w:rFonts w:ascii="Gill Sans MT" w:hAnsi="Gill Sans MT"/>
          <w:color w:val="000000"/>
          <w:sz w:val="23"/>
          <w:szCs w:val="23"/>
        </w:rPr>
        <w:t>.</w:t>
      </w:r>
      <w:r>
        <w:rPr>
          <w:rFonts w:ascii="Gill Sans MT" w:hAnsi="Gill Sans MT"/>
          <w:color w:val="000000"/>
          <w:sz w:val="23"/>
          <w:szCs w:val="23"/>
        </w:rPr>
        <w:t xml:space="preserve">  </w:t>
      </w:r>
    </w:p>
    <w:p w14:paraId="14A51FE4" w14:textId="77777777" w:rsidR="00C07674" w:rsidRDefault="00C07674">
      <w:pPr>
        <w:rPr>
          <w:bCs/>
        </w:rPr>
      </w:pPr>
    </w:p>
    <w:tbl>
      <w:tblPr>
        <w:tblW w:w="12906" w:type="dxa"/>
        <w:tblBorders>
          <w:top w:val="nil"/>
          <w:left w:val="nil"/>
          <w:right w:val="nil"/>
        </w:tblBorders>
        <w:tblLayout w:type="fixed"/>
        <w:tblLook w:val="0000" w:firstRow="0" w:lastRow="0" w:firstColumn="0" w:lastColumn="0" w:noHBand="0" w:noVBand="0"/>
      </w:tblPr>
      <w:tblGrid>
        <w:gridCol w:w="4338"/>
        <w:gridCol w:w="1080"/>
        <w:gridCol w:w="900"/>
        <w:gridCol w:w="810"/>
        <w:gridCol w:w="1080"/>
        <w:gridCol w:w="990"/>
        <w:gridCol w:w="990"/>
        <w:gridCol w:w="990"/>
        <w:gridCol w:w="864"/>
        <w:gridCol w:w="864"/>
      </w:tblGrid>
      <w:tr w:rsidR="00E10293" w:rsidRPr="00E00F6D" w14:paraId="66406520" w14:textId="77777777" w:rsidTr="00E10293">
        <w:trPr>
          <w:cantSplit/>
          <w:trHeight w:val="2041"/>
        </w:trPr>
        <w:tc>
          <w:tcPr>
            <w:tcW w:w="4338" w:type="dxa"/>
            <w:tcBorders>
              <w:top w:val="single" w:sz="8" w:space="0" w:color="BFBFBF"/>
              <w:left w:val="single" w:sz="8" w:space="0" w:color="BFBFBF"/>
              <w:bottom w:val="single" w:sz="4" w:space="0" w:color="auto"/>
              <w:right w:val="single" w:sz="8" w:space="0" w:color="BFBFBF"/>
            </w:tcBorders>
            <w:shd w:val="clear" w:color="auto" w:fill="D9D9D9" w:themeFill="background1" w:themeFillShade="D9"/>
            <w:tcMar>
              <w:top w:w="100" w:type="nil"/>
              <w:right w:w="100" w:type="nil"/>
            </w:tcMar>
            <w:vAlign w:val="center"/>
          </w:tcPr>
          <w:p w14:paraId="78B411F2" w14:textId="57F89656" w:rsidR="00E10293" w:rsidRPr="00242FA3" w:rsidRDefault="00E10293" w:rsidP="00242FA3">
            <w:pPr>
              <w:widowControl w:val="0"/>
              <w:autoSpaceDE w:val="0"/>
              <w:autoSpaceDN w:val="0"/>
              <w:adjustRightInd w:val="0"/>
              <w:jc w:val="center"/>
              <w:rPr>
                <w:rFonts w:ascii="Times-Roman" w:hAnsi="Times-Roman"/>
                <w:b/>
                <w:color w:val="000000"/>
              </w:rPr>
            </w:pPr>
            <w:r w:rsidRPr="00242FA3">
              <w:rPr>
                <w:rFonts w:ascii="Times-Roman" w:hAnsi="Times-Roman"/>
                <w:b/>
                <w:color w:val="000000"/>
              </w:rPr>
              <w:t>Artifact</w:t>
            </w:r>
          </w:p>
        </w:tc>
        <w:tc>
          <w:tcPr>
            <w:tcW w:w="1080" w:type="dxa"/>
            <w:tcBorders>
              <w:top w:val="single" w:sz="8" w:space="0" w:color="BFBFBF"/>
              <w:left w:val="single" w:sz="8" w:space="0" w:color="BFBFBF"/>
              <w:bottom w:val="single" w:sz="4" w:space="0" w:color="auto"/>
              <w:right w:val="single" w:sz="8" w:space="0" w:color="BFBFBF"/>
            </w:tcBorders>
            <w:shd w:val="clear" w:color="auto" w:fill="F2F2F2" w:themeFill="background1" w:themeFillShade="F2"/>
            <w:textDirection w:val="btLr"/>
            <w:vAlign w:val="center"/>
          </w:tcPr>
          <w:p w14:paraId="2F217158" w14:textId="54A18F5D" w:rsidR="00E10293" w:rsidRPr="00242FA3" w:rsidRDefault="00E10293" w:rsidP="00DC3AE8">
            <w:pPr>
              <w:widowControl w:val="0"/>
              <w:autoSpaceDE w:val="0"/>
              <w:autoSpaceDN w:val="0"/>
              <w:adjustRightInd w:val="0"/>
              <w:ind w:left="113" w:right="113"/>
              <w:rPr>
                <w:rFonts w:ascii="Times-Roman" w:hAnsi="Times-Roman"/>
                <w:b/>
                <w:color w:val="000000"/>
              </w:rPr>
            </w:pPr>
            <w:r w:rsidRPr="00242FA3">
              <w:rPr>
                <w:rFonts w:ascii="Times-Roman" w:hAnsi="Times-Roman"/>
                <w:b/>
                <w:color w:val="000000"/>
              </w:rPr>
              <w:t>Synthesize Knowledge</w:t>
            </w:r>
          </w:p>
        </w:tc>
        <w:tc>
          <w:tcPr>
            <w:tcW w:w="900" w:type="dxa"/>
            <w:tcBorders>
              <w:top w:val="single" w:sz="8" w:space="0" w:color="BFBFBF"/>
              <w:left w:val="single" w:sz="8" w:space="0" w:color="BFBFBF"/>
              <w:bottom w:val="single" w:sz="4" w:space="0" w:color="auto"/>
              <w:right w:val="single" w:sz="8" w:space="0" w:color="BFBFBF"/>
            </w:tcBorders>
            <w:shd w:val="clear" w:color="auto" w:fill="D9D9D9" w:themeFill="background1" w:themeFillShade="D9"/>
            <w:textDirection w:val="btLr"/>
            <w:vAlign w:val="center"/>
          </w:tcPr>
          <w:p w14:paraId="3105FD55" w14:textId="5505BCD9" w:rsidR="00E10293" w:rsidRPr="00242FA3" w:rsidRDefault="00E10293" w:rsidP="00DC3AE8">
            <w:pPr>
              <w:widowControl w:val="0"/>
              <w:autoSpaceDE w:val="0"/>
              <w:autoSpaceDN w:val="0"/>
              <w:adjustRightInd w:val="0"/>
              <w:ind w:left="113" w:right="113"/>
              <w:rPr>
                <w:rFonts w:ascii="Times-Roman" w:hAnsi="Times-Roman"/>
                <w:b/>
                <w:color w:val="000000"/>
              </w:rPr>
            </w:pPr>
            <w:r w:rsidRPr="00242FA3">
              <w:rPr>
                <w:rFonts w:ascii="Times-Roman" w:hAnsi="Times-Roman"/>
                <w:b/>
                <w:color w:val="000000"/>
              </w:rPr>
              <w:t>Create Knowledge</w:t>
            </w:r>
          </w:p>
        </w:tc>
        <w:tc>
          <w:tcPr>
            <w:tcW w:w="810" w:type="dxa"/>
            <w:tcBorders>
              <w:top w:val="single" w:sz="8" w:space="0" w:color="BFBFBF"/>
              <w:left w:val="single" w:sz="8" w:space="0" w:color="BFBFBF"/>
              <w:bottom w:val="single" w:sz="4" w:space="0" w:color="auto"/>
              <w:right w:val="single" w:sz="8" w:space="0" w:color="BFBFBF"/>
            </w:tcBorders>
            <w:shd w:val="clear" w:color="auto" w:fill="F2F2F2" w:themeFill="background1" w:themeFillShade="F2"/>
            <w:textDirection w:val="btLr"/>
            <w:vAlign w:val="center"/>
          </w:tcPr>
          <w:p w14:paraId="4DD480D7" w14:textId="582AB768" w:rsidR="00E10293" w:rsidRPr="00242FA3" w:rsidRDefault="00E10293" w:rsidP="00DC3AE8">
            <w:pPr>
              <w:widowControl w:val="0"/>
              <w:autoSpaceDE w:val="0"/>
              <w:autoSpaceDN w:val="0"/>
              <w:adjustRightInd w:val="0"/>
              <w:ind w:left="113" w:right="113"/>
              <w:rPr>
                <w:rFonts w:ascii="Times-Roman" w:hAnsi="Times-Roman"/>
                <w:b/>
                <w:color w:val="000000"/>
              </w:rPr>
            </w:pPr>
            <w:r w:rsidRPr="00242FA3">
              <w:rPr>
                <w:rFonts w:ascii="Times-Roman" w:hAnsi="Times-Roman"/>
                <w:b/>
                <w:color w:val="000000"/>
              </w:rPr>
              <w:t>Communicate Knowledge</w:t>
            </w:r>
          </w:p>
        </w:tc>
        <w:tc>
          <w:tcPr>
            <w:tcW w:w="1080" w:type="dxa"/>
            <w:tcBorders>
              <w:top w:val="single" w:sz="8" w:space="0" w:color="BFBFBF"/>
              <w:left w:val="single" w:sz="8" w:space="0" w:color="BFBFBF"/>
              <w:bottom w:val="single" w:sz="4" w:space="0" w:color="auto"/>
              <w:right w:val="single" w:sz="8" w:space="0" w:color="BFBFBF"/>
            </w:tcBorders>
            <w:shd w:val="clear" w:color="auto" w:fill="D9D9D9" w:themeFill="background1" w:themeFillShade="D9"/>
            <w:textDirection w:val="btLr"/>
            <w:vAlign w:val="center"/>
          </w:tcPr>
          <w:p w14:paraId="6C5FA593" w14:textId="79CB042B" w:rsidR="00E10293" w:rsidRPr="00242FA3" w:rsidRDefault="00E10293" w:rsidP="00DC3AE8">
            <w:pPr>
              <w:widowControl w:val="0"/>
              <w:autoSpaceDE w:val="0"/>
              <w:autoSpaceDN w:val="0"/>
              <w:adjustRightInd w:val="0"/>
              <w:ind w:left="113" w:right="113"/>
              <w:rPr>
                <w:rFonts w:ascii="Times-Roman" w:hAnsi="Times-Roman"/>
                <w:b/>
                <w:color w:val="000000"/>
              </w:rPr>
            </w:pPr>
            <w:r w:rsidRPr="00242FA3">
              <w:rPr>
                <w:rFonts w:ascii="Times-Roman" w:hAnsi="Times-Roman"/>
                <w:b/>
                <w:color w:val="000000"/>
              </w:rPr>
              <w:t>Thinking Critically &amp; Reflectively</w:t>
            </w:r>
          </w:p>
        </w:tc>
        <w:tc>
          <w:tcPr>
            <w:tcW w:w="990" w:type="dxa"/>
            <w:tcBorders>
              <w:top w:val="single" w:sz="8" w:space="0" w:color="BFBFBF"/>
              <w:left w:val="single" w:sz="8" w:space="0" w:color="BFBFBF"/>
              <w:bottom w:val="single" w:sz="4" w:space="0" w:color="auto"/>
              <w:right w:val="single" w:sz="8" w:space="0" w:color="BFBFBF"/>
            </w:tcBorders>
            <w:shd w:val="clear" w:color="auto" w:fill="F2F2F2" w:themeFill="background1" w:themeFillShade="F2"/>
            <w:textDirection w:val="btLr"/>
            <w:vAlign w:val="center"/>
          </w:tcPr>
          <w:p w14:paraId="2C5FE0B4" w14:textId="7C6BDB55" w:rsidR="00E10293" w:rsidRPr="00242FA3" w:rsidRDefault="00E10293" w:rsidP="00DC3AE8">
            <w:pPr>
              <w:widowControl w:val="0"/>
              <w:autoSpaceDE w:val="0"/>
              <w:autoSpaceDN w:val="0"/>
              <w:adjustRightInd w:val="0"/>
              <w:ind w:left="113" w:right="113"/>
              <w:rPr>
                <w:rFonts w:ascii="Times-Roman" w:hAnsi="Times-Roman"/>
                <w:b/>
                <w:color w:val="000000"/>
              </w:rPr>
            </w:pPr>
            <w:r w:rsidRPr="00242FA3">
              <w:rPr>
                <w:rFonts w:ascii="Times-Roman" w:hAnsi="Times-Roman"/>
                <w:b/>
                <w:color w:val="000000"/>
              </w:rPr>
              <w:t>Engage in Professional Development</w:t>
            </w:r>
          </w:p>
        </w:tc>
        <w:tc>
          <w:tcPr>
            <w:tcW w:w="990" w:type="dxa"/>
            <w:tcBorders>
              <w:top w:val="single" w:sz="8" w:space="0" w:color="BFBFBF"/>
              <w:left w:val="single" w:sz="8" w:space="0" w:color="BFBFBF"/>
              <w:bottom w:val="single" w:sz="4" w:space="0" w:color="auto"/>
              <w:right w:val="single" w:sz="8" w:space="0" w:color="BFBFBF"/>
            </w:tcBorders>
            <w:shd w:val="clear" w:color="auto" w:fill="D9D9D9" w:themeFill="background1" w:themeFillShade="D9"/>
            <w:textDirection w:val="btLr"/>
            <w:vAlign w:val="center"/>
          </w:tcPr>
          <w:p w14:paraId="753C2D3C" w14:textId="50CA3381" w:rsidR="00E10293" w:rsidRPr="00242FA3" w:rsidRDefault="00E10293" w:rsidP="00DC3AE8">
            <w:pPr>
              <w:widowControl w:val="0"/>
              <w:autoSpaceDE w:val="0"/>
              <w:autoSpaceDN w:val="0"/>
              <w:adjustRightInd w:val="0"/>
              <w:ind w:left="113" w:right="113"/>
              <w:rPr>
                <w:rFonts w:ascii="Times-Roman" w:hAnsi="Times-Roman"/>
                <w:b/>
                <w:color w:val="000000"/>
              </w:rPr>
            </w:pPr>
            <w:r w:rsidRPr="00242FA3">
              <w:rPr>
                <w:rFonts w:ascii="Times-Roman" w:hAnsi="Times-Roman"/>
                <w:b/>
                <w:color w:val="000000"/>
              </w:rPr>
              <w:t>Participate Actively in Profession</w:t>
            </w:r>
          </w:p>
        </w:tc>
        <w:tc>
          <w:tcPr>
            <w:tcW w:w="990" w:type="dxa"/>
            <w:tcBorders>
              <w:top w:val="single" w:sz="8" w:space="0" w:color="BFBFBF"/>
              <w:left w:val="single" w:sz="8" w:space="0" w:color="BFBFBF"/>
              <w:bottom w:val="single" w:sz="4" w:space="0" w:color="auto"/>
              <w:right w:val="single" w:sz="8" w:space="0" w:color="BFBFBF"/>
            </w:tcBorders>
            <w:shd w:val="clear" w:color="auto" w:fill="F2F2F2" w:themeFill="background1" w:themeFillShade="F2"/>
            <w:textDirection w:val="btLr"/>
            <w:vAlign w:val="center"/>
          </w:tcPr>
          <w:p w14:paraId="20A03A74" w14:textId="7826BDCB" w:rsidR="00E10293" w:rsidRPr="00242FA3" w:rsidRDefault="00E10293" w:rsidP="00DC3AE8">
            <w:pPr>
              <w:widowControl w:val="0"/>
              <w:autoSpaceDE w:val="0"/>
              <w:autoSpaceDN w:val="0"/>
              <w:adjustRightInd w:val="0"/>
              <w:ind w:left="113" w:right="113"/>
              <w:rPr>
                <w:rFonts w:ascii="Times-Roman" w:hAnsi="Times-Roman"/>
                <w:b/>
                <w:color w:val="000000"/>
              </w:rPr>
            </w:pPr>
            <w:r w:rsidRPr="00242FA3">
              <w:rPr>
                <w:rFonts w:ascii="Times-Roman" w:hAnsi="Times-Roman"/>
                <w:b/>
                <w:color w:val="000000"/>
              </w:rPr>
              <w:t>Diversity</w:t>
            </w:r>
          </w:p>
        </w:tc>
        <w:tc>
          <w:tcPr>
            <w:tcW w:w="864" w:type="dxa"/>
            <w:tcBorders>
              <w:top w:val="single" w:sz="8" w:space="0" w:color="BFBFBF"/>
              <w:left w:val="single" w:sz="8" w:space="0" w:color="BFBFBF"/>
              <w:bottom w:val="single" w:sz="4" w:space="0" w:color="auto"/>
              <w:right w:val="single" w:sz="8" w:space="0" w:color="BFBFBF"/>
            </w:tcBorders>
            <w:shd w:val="clear" w:color="auto" w:fill="D9D9D9" w:themeFill="background1" w:themeFillShade="D9"/>
            <w:textDirection w:val="btLr"/>
            <w:vAlign w:val="center"/>
          </w:tcPr>
          <w:p w14:paraId="3DEF3E18" w14:textId="014BFE19" w:rsidR="00E10293" w:rsidRPr="00242FA3" w:rsidRDefault="00E10293" w:rsidP="00DC3AE8">
            <w:pPr>
              <w:widowControl w:val="0"/>
              <w:autoSpaceDE w:val="0"/>
              <w:autoSpaceDN w:val="0"/>
              <w:adjustRightInd w:val="0"/>
              <w:ind w:left="113" w:right="113"/>
              <w:rPr>
                <w:rFonts w:ascii="Times-Roman" w:hAnsi="Times-Roman"/>
                <w:b/>
                <w:color w:val="000000"/>
              </w:rPr>
            </w:pPr>
            <w:r w:rsidRPr="00242FA3">
              <w:rPr>
                <w:rFonts w:ascii="Times-Roman" w:hAnsi="Times-Roman"/>
                <w:b/>
                <w:color w:val="000000"/>
              </w:rPr>
              <w:t>Technology</w:t>
            </w:r>
          </w:p>
        </w:tc>
        <w:tc>
          <w:tcPr>
            <w:tcW w:w="864" w:type="dxa"/>
            <w:tcBorders>
              <w:top w:val="single" w:sz="8" w:space="0" w:color="BFBFBF"/>
              <w:left w:val="single" w:sz="8" w:space="0" w:color="BFBFBF"/>
              <w:bottom w:val="single" w:sz="4" w:space="0" w:color="auto"/>
              <w:right w:val="single" w:sz="8" w:space="0" w:color="BFBFBF"/>
            </w:tcBorders>
            <w:shd w:val="clear" w:color="auto" w:fill="F2F2F2" w:themeFill="background1" w:themeFillShade="F2"/>
            <w:textDirection w:val="btLr"/>
            <w:vAlign w:val="center"/>
          </w:tcPr>
          <w:p w14:paraId="1E2E0346" w14:textId="1C8D2AB1" w:rsidR="00E10293" w:rsidRPr="00242FA3" w:rsidRDefault="00E10293" w:rsidP="00DC3AE8">
            <w:pPr>
              <w:widowControl w:val="0"/>
              <w:autoSpaceDE w:val="0"/>
              <w:autoSpaceDN w:val="0"/>
              <w:adjustRightInd w:val="0"/>
              <w:ind w:left="113" w:right="113"/>
              <w:rPr>
                <w:rFonts w:ascii="Times-Roman" w:hAnsi="Times-Roman"/>
                <w:b/>
                <w:color w:val="000000"/>
              </w:rPr>
            </w:pPr>
          </w:p>
        </w:tc>
      </w:tr>
      <w:tr w:rsidR="00E10293" w:rsidRPr="00E00F6D" w14:paraId="7078519D" w14:textId="77777777" w:rsidTr="00E10293">
        <w:tblPrEx>
          <w:tblBorders>
            <w:top w:val="none" w:sz="0" w:space="0" w:color="auto"/>
          </w:tblBorders>
        </w:tblPrEx>
        <w:tc>
          <w:tcPr>
            <w:tcW w:w="1290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nil"/>
              <w:right w:w="100" w:type="nil"/>
            </w:tcMar>
            <w:vAlign w:val="center"/>
          </w:tcPr>
          <w:p w14:paraId="133B9964" w14:textId="49B990C6" w:rsidR="00E10293" w:rsidRPr="00E00F6D" w:rsidRDefault="00E10293" w:rsidP="00DC3AE8">
            <w:pPr>
              <w:widowControl w:val="0"/>
              <w:autoSpaceDE w:val="0"/>
              <w:autoSpaceDN w:val="0"/>
              <w:adjustRightInd w:val="0"/>
              <w:rPr>
                <w:rFonts w:ascii="Times-Roman" w:hAnsi="Times-Roman"/>
                <w:color w:val="000000"/>
              </w:rPr>
            </w:pPr>
            <w:r w:rsidRPr="00E00F6D">
              <w:rPr>
                <w:rFonts w:ascii="Times-Roman" w:hAnsi="Times-Roman"/>
                <w:color w:val="000000"/>
              </w:rPr>
              <w:t>Education Courses</w:t>
            </w:r>
          </w:p>
        </w:tc>
      </w:tr>
      <w:tr w:rsidR="00E10293" w:rsidRPr="00E00F6D" w14:paraId="3717CB82" w14:textId="77777777" w:rsidTr="00E10293">
        <w:tblPrEx>
          <w:tblBorders>
            <w:top w:val="none" w:sz="0" w:space="0" w:color="auto"/>
          </w:tblBorders>
        </w:tblPrEx>
        <w:tc>
          <w:tcPr>
            <w:tcW w:w="4338"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52DFEE64" w14:textId="77777777" w:rsidR="00E10293" w:rsidRPr="00E00F6D" w:rsidRDefault="00E10293" w:rsidP="00DC3AE8">
            <w:pPr>
              <w:widowControl w:val="0"/>
              <w:autoSpaceDE w:val="0"/>
              <w:autoSpaceDN w:val="0"/>
              <w:adjustRightInd w:val="0"/>
              <w:rPr>
                <w:rFonts w:ascii="Times-Roman" w:hAnsi="Times-Roman"/>
                <w:color w:val="000000"/>
              </w:rPr>
            </w:pPr>
          </w:p>
        </w:tc>
        <w:tc>
          <w:tcPr>
            <w:tcW w:w="108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73C963FE" w14:textId="77777777" w:rsidR="00E10293" w:rsidRPr="00E00F6D" w:rsidRDefault="00E10293" w:rsidP="00DC3AE8">
            <w:pPr>
              <w:widowControl w:val="0"/>
              <w:autoSpaceDE w:val="0"/>
              <w:autoSpaceDN w:val="0"/>
              <w:adjustRightInd w:val="0"/>
              <w:rPr>
                <w:rFonts w:ascii="Times-Roman" w:hAnsi="Times-Roman"/>
                <w:color w:val="000000"/>
              </w:rPr>
            </w:pPr>
          </w:p>
        </w:tc>
        <w:tc>
          <w:tcPr>
            <w:tcW w:w="90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100DF62C" w14:textId="77777777" w:rsidR="00E10293" w:rsidRPr="00E00F6D" w:rsidRDefault="00E10293" w:rsidP="00DC3AE8">
            <w:pPr>
              <w:widowControl w:val="0"/>
              <w:autoSpaceDE w:val="0"/>
              <w:autoSpaceDN w:val="0"/>
              <w:adjustRightInd w:val="0"/>
              <w:rPr>
                <w:rFonts w:ascii="Times-Roman" w:hAnsi="Times-Roman"/>
                <w:color w:val="000000"/>
              </w:rPr>
            </w:pPr>
          </w:p>
        </w:tc>
        <w:tc>
          <w:tcPr>
            <w:tcW w:w="81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02A9A2DF" w14:textId="77777777" w:rsidR="00E10293" w:rsidRPr="00E00F6D" w:rsidRDefault="00E10293" w:rsidP="00DC3AE8">
            <w:pPr>
              <w:widowControl w:val="0"/>
              <w:autoSpaceDE w:val="0"/>
              <w:autoSpaceDN w:val="0"/>
              <w:adjustRightInd w:val="0"/>
              <w:rPr>
                <w:rFonts w:ascii="Times-Roman" w:hAnsi="Times-Roman"/>
                <w:color w:val="000000"/>
              </w:rPr>
            </w:pPr>
          </w:p>
        </w:tc>
        <w:tc>
          <w:tcPr>
            <w:tcW w:w="108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40D9F0EC" w14:textId="77777777" w:rsidR="00E10293" w:rsidRPr="00E00F6D" w:rsidRDefault="00E10293" w:rsidP="00DC3AE8">
            <w:pPr>
              <w:widowControl w:val="0"/>
              <w:autoSpaceDE w:val="0"/>
              <w:autoSpaceDN w:val="0"/>
              <w:adjustRightInd w:val="0"/>
              <w:rPr>
                <w:rFonts w:ascii="Times-Roman" w:hAnsi="Times-Roman"/>
                <w:color w:val="000000"/>
              </w:rPr>
            </w:pPr>
          </w:p>
        </w:tc>
        <w:tc>
          <w:tcPr>
            <w:tcW w:w="99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03FC5226" w14:textId="77777777" w:rsidR="00E10293" w:rsidRPr="00E00F6D" w:rsidRDefault="00E10293" w:rsidP="00DC3AE8">
            <w:pPr>
              <w:widowControl w:val="0"/>
              <w:autoSpaceDE w:val="0"/>
              <w:autoSpaceDN w:val="0"/>
              <w:adjustRightInd w:val="0"/>
              <w:rPr>
                <w:rFonts w:ascii="Times-Roman" w:hAnsi="Times-Roman"/>
                <w:color w:val="000000"/>
              </w:rPr>
            </w:pPr>
          </w:p>
        </w:tc>
        <w:tc>
          <w:tcPr>
            <w:tcW w:w="99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01E84012" w14:textId="77777777" w:rsidR="00E10293" w:rsidRPr="00E00F6D" w:rsidRDefault="00E10293" w:rsidP="00DC3AE8">
            <w:pPr>
              <w:widowControl w:val="0"/>
              <w:autoSpaceDE w:val="0"/>
              <w:autoSpaceDN w:val="0"/>
              <w:adjustRightInd w:val="0"/>
              <w:rPr>
                <w:rFonts w:ascii="Times-Roman" w:hAnsi="Times-Roman"/>
                <w:color w:val="000000"/>
              </w:rPr>
            </w:pPr>
          </w:p>
        </w:tc>
        <w:tc>
          <w:tcPr>
            <w:tcW w:w="99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45EE91DC" w14:textId="77777777" w:rsidR="00E10293" w:rsidRPr="00E00F6D" w:rsidRDefault="00E10293" w:rsidP="00DC3AE8">
            <w:pPr>
              <w:widowControl w:val="0"/>
              <w:autoSpaceDE w:val="0"/>
              <w:autoSpaceDN w:val="0"/>
              <w:adjustRightInd w:val="0"/>
              <w:rPr>
                <w:rFonts w:ascii="Times-Roman" w:hAnsi="Times-Roman"/>
                <w:color w:val="000000"/>
              </w:rPr>
            </w:pPr>
          </w:p>
        </w:tc>
        <w:tc>
          <w:tcPr>
            <w:tcW w:w="864"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6C5E7BEA" w14:textId="77777777" w:rsidR="00E10293" w:rsidRPr="00E00F6D" w:rsidRDefault="00E10293" w:rsidP="00DC3AE8">
            <w:pPr>
              <w:widowControl w:val="0"/>
              <w:autoSpaceDE w:val="0"/>
              <w:autoSpaceDN w:val="0"/>
              <w:adjustRightInd w:val="0"/>
              <w:rPr>
                <w:rFonts w:ascii="Times-Roman" w:hAnsi="Times-Roman"/>
                <w:color w:val="000000"/>
              </w:rPr>
            </w:pPr>
          </w:p>
        </w:tc>
        <w:tc>
          <w:tcPr>
            <w:tcW w:w="864"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7FC4AC6D" w14:textId="77777777" w:rsidR="00E10293" w:rsidRPr="00E00F6D" w:rsidRDefault="00E10293" w:rsidP="00DC3AE8">
            <w:pPr>
              <w:widowControl w:val="0"/>
              <w:autoSpaceDE w:val="0"/>
              <w:autoSpaceDN w:val="0"/>
              <w:adjustRightInd w:val="0"/>
              <w:rPr>
                <w:rFonts w:ascii="Times-Roman" w:hAnsi="Times-Roman"/>
                <w:color w:val="000000"/>
              </w:rPr>
            </w:pPr>
          </w:p>
        </w:tc>
      </w:tr>
      <w:tr w:rsidR="00E10293" w:rsidRPr="00E00F6D" w14:paraId="4BB8DD30" w14:textId="77777777" w:rsidTr="00E10293">
        <w:tblPrEx>
          <w:tblBorders>
            <w:top w:val="none" w:sz="0" w:space="0" w:color="auto"/>
          </w:tblBorders>
        </w:tblPrEx>
        <w:tc>
          <w:tcPr>
            <w:tcW w:w="4338"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416E4767" w14:textId="77777777" w:rsidR="00E10293" w:rsidRPr="00E00F6D" w:rsidRDefault="00E10293" w:rsidP="00DC3AE8">
            <w:pPr>
              <w:widowControl w:val="0"/>
              <w:autoSpaceDE w:val="0"/>
              <w:autoSpaceDN w:val="0"/>
              <w:adjustRightInd w:val="0"/>
              <w:rPr>
                <w:rFonts w:ascii="Times-Roman" w:hAnsi="Times-Roman"/>
                <w:color w:val="000000"/>
              </w:rPr>
            </w:pPr>
          </w:p>
        </w:tc>
        <w:tc>
          <w:tcPr>
            <w:tcW w:w="108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3EB619F4" w14:textId="77777777" w:rsidR="00E10293" w:rsidRPr="00E00F6D" w:rsidRDefault="00E10293" w:rsidP="00DC3AE8">
            <w:pPr>
              <w:widowControl w:val="0"/>
              <w:autoSpaceDE w:val="0"/>
              <w:autoSpaceDN w:val="0"/>
              <w:adjustRightInd w:val="0"/>
              <w:rPr>
                <w:rFonts w:ascii="Times-Roman" w:hAnsi="Times-Roman"/>
                <w:color w:val="000000"/>
              </w:rPr>
            </w:pPr>
          </w:p>
        </w:tc>
        <w:tc>
          <w:tcPr>
            <w:tcW w:w="90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6B0E6FD1" w14:textId="77777777" w:rsidR="00E10293" w:rsidRPr="00E00F6D" w:rsidRDefault="00E10293" w:rsidP="00DC3AE8">
            <w:pPr>
              <w:widowControl w:val="0"/>
              <w:autoSpaceDE w:val="0"/>
              <w:autoSpaceDN w:val="0"/>
              <w:adjustRightInd w:val="0"/>
              <w:rPr>
                <w:rFonts w:ascii="Times-Roman" w:hAnsi="Times-Roman"/>
                <w:color w:val="000000"/>
              </w:rPr>
            </w:pPr>
          </w:p>
        </w:tc>
        <w:tc>
          <w:tcPr>
            <w:tcW w:w="81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23E49E63" w14:textId="77777777" w:rsidR="00E10293" w:rsidRPr="00E00F6D" w:rsidRDefault="00E10293" w:rsidP="00DC3AE8">
            <w:pPr>
              <w:widowControl w:val="0"/>
              <w:autoSpaceDE w:val="0"/>
              <w:autoSpaceDN w:val="0"/>
              <w:adjustRightInd w:val="0"/>
              <w:rPr>
                <w:rFonts w:ascii="Times-Roman" w:hAnsi="Times-Roman"/>
                <w:color w:val="000000"/>
              </w:rPr>
            </w:pPr>
          </w:p>
        </w:tc>
        <w:tc>
          <w:tcPr>
            <w:tcW w:w="108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149D0061" w14:textId="77777777" w:rsidR="00E10293" w:rsidRPr="00E00F6D" w:rsidRDefault="00E10293" w:rsidP="00DC3AE8">
            <w:pPr>
              <w:widowControl w:val="0"/>
              <w:autoSpaceDE w:val="0"/>
              <w:autoSpaceDN w:val="0"/>
              <w:adjustRightInd w:val="0"/>
              <w:rPr>
                <w:rFonts w:ascii="Times-Roman" w:hAnsi="Times-Roman"/>
                <w:color w:val="000000"/>
              </w:rPr>
            </w:pPr>
          </w:p>
        </w:tc>
        <w:tc>
          <w:tcPr>
            <w:tcW w:w="99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6624367E" w14:textId="77777777" w:rsidR="00E10293" w:rsidRPr="00E00F6D" w:rsidRDefault="00E10293" w:rsidP="00DC3AE8">
            <w:pPr>
              <w:widowControl w:val="0"/>
              <w:autoSpaceDE w:val="0"/>
              <w:autoSpaceDN w:val="0"/>
              <w:adjustRightInd w:val="0"/>
              <w:rPr>
                <w:rFonts w:ascii="Times-Roman" w:hAnsi="Times-Roman"/>
                <w:color w:val="000000"/>
              </w:rPr>
            </w:pPr>
          </w:p>
        </w:tc>
        <w:tc>
          <w:tcPr>
            <w:tcW w:w="99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164B74E4" w14:textId="77777777" w:rsidR="00E10293" w:rsidRPr="00E00F6D" w:rsidRDefault="00E10293" w:rsidP="00DC3AE8">
            <w:pPr>
              <w:widowControl w:val="0"/>
              <w:autoSpaceDE w:val="0"/>
              <w:autoSpaceDN w:val="0"/>
              <w:adjustRightInd w:val="0"/>
              <w:rPr>
                <w:rFonts w:ascii="Times-Roman" w:hAnsi="Times-Roman"/>
                <w:color w:val="000000"/>
              </w:rPr>
            </w:pPr>
          </w:p>
        </w:tc>
        <w:tc>
          <w:tcPr>
            <w:tcW w:w="99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67CFFEA1" w14:textId="77777777" w:rsidR="00E10293" w:rsidRPr="00E00F6D" w:rsidRDefault="00E10293" w:rsidP="00DC3AE8">
            <w:pPr>
              <w:widowControl w:val="0"/>
              <w:autoSpaceDE w:val="0"/>
              <w:autoSpaceDN w:val="0"/>
              <w:adjustRightInd w:val="0"/>
              <w:rPr>
                <w:rFonts w:ascii="Times-Roman" w:hAnsi="Times-Roman"/>
                <w:color w:val="000000"/>
              </w:rPr>
            </w:pPr>
          </w:p>
        </w:tc>
        <w:tc>
          <w:tcPr>
            <w:tcW w:w="864"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31686259" w14:textId="77777777" w:rsidR="00E10293" w:rsidRPr="00E00F6D" w:rsidRDefault="00E10293" w:rsidP="00DC3AE8">
            <w:pPr>
              <w:widowControl w:val="0"/>
              <w:autoSpaceDE w:val="0"/>
              <w:autoSpaceDN w:val="0"/>
              <w:adjustRightInd w:val="0"/>
              <w:rPr>
                <w:rFonts w:ascii="Times-Roman" w:hAnsi="Times-Roman"/>
                <w:color w:val="000000"/>
              </w:rPr>
            </w:pPr>
          </w:p>
        </w:tc>
        <w:tc>
          <w:tcPr>
            <w:tcW w:w="864"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0C91AD7A" w14:textId="77777777" w:rsidR="00E10293" w:rsidRPr="00E00F6D" w:rsidRDefault="00E10293" w:rsidP="00DC3AE8">
            <w:pPr>
              <w:widowControl w:val="0"/>
              <w:autoSpaceDE w:val="0"/>
              <w:autoSpaceDN w:val="0"/>
              <w:adjustRightInd w:val="0"/>
              <w:rPr>
                <w:rFonts w:ascii="Times-Roman" w:hAnsi="Times-Roman"/>
                <w:color w:val="000000"/>
              </w:rPr>
            </w:pPr>
          </w:p>
        </w:tc>
      </w:tr>
      <w:tr w:rsidR="00E10293" w:rsidRPr="00E00F6D" w14:paraId="3B1B7F03" w14:textId="77777777" w:rsidTr="00E10293">
        <w:tblPrEx>
          <w:tblBorders>
            <w:top w:val="none" w:sz="0" w:space="0" w:color="auto"/>
          </w:tblBorders>
        </w:tblPrEx>
        <w:tc>
          <w:tcPr>
            <w:tcW w:w="4338"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7DEA04AA" w14:textId="77777777" w:rsidR="00E10293" w:rsidRPr="00E00F6D" w:rsidRDefault="00E10293" w:rsidP="00DC3AE8">
            <w:pPr>
              <w:widowControl w:val="0"/>
              <w:autoSpaceDE w:val="0"/>
              <w:autoSpaceDN w:val="0"/>
              <w:adjustRightInd w:val="0"/>
              <w:rPr>
                <w:rFonts w:ascii="Times-Roman" w:hAnsi="Times-Roman"/>
                <w:color w:val="000000"/>
              </w:rPr>
            </w:pPr>
          </w:p>
        </w:tc>
        <w:tc>
          <w:tcPr>
            <w:tcW w:w="108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15C1DB4E" w14:textId="77777777" w:rsidR="00E10293" w:rsidRPr="00E00F6D" w:rsidRDefault="00E10293" w:rsidP="00DC3AE8">
            <w:pPr>
              <w:widowControl w:val="0"/>
              <w:autoSpaceDE w:val="0"/>
              <w:autoSpaceDN w:val="0"/>
              <w:adjustRightInd w:val="0"/>
              <w:rPr>
                <w:rFonts w:ascii="Times-Roman" w:hAnsi="Times-Roman"/>
                <w:color w:val="000000"/>
              </w:rPr>
            </w:pPr>
          </w:p>
        </w:tc>
        <w:tc>
          <w:tcPr>
            <w:tcW w:w="90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49070864" w14:textId="77777777" w:rsidR="00E10293" w:rsidRPr="00E00F6D" w:rsidRDefault="00E10293" w:rsidP="00DC3AE8">
            <w:pPr>
              <w:widowControl w:val="0"/>
              <w:autoSpaceDE w:val="0"/>
              <w:autoSpaceDN w:val="0"/>
              <w:adjustRightInd w:val="0"/>
              <w:rPr>
                <w:rFonts w:ascii="Times-Roman" w:hAnsi="Times-Roman"/>
                <w:color w:val="000000"/>
              </w:rPr>
            </w:pPr>
          </w:p>
        </w:tc>
        <w:tc>
          <w:tcPr>
            <w:tcW w:w="81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2DD9C1FD" w14:textId="77777777" w:rsidR="00E10293" w:rsidRPr="00E00F6D" w:rsidRDefault="00E10293" w:rsidP="00DC3AE8">
            <w:pPr>
              <w:widowControl w:val="0"/>
              <w:autoSpaceDE w:val="0"/>
              <w:autoSpaceDN w:val="0"/>
              <w:adjustRightInd w:val="0"/>
              <w:rPr>
                <w:rFonts w:ascii="Times-Roman" w:hAnsi="Times-Roman"/>
                <w:color w:val="000000"/>
              </w:rPr>
            </w:pPr>
          </w:p>
        </w:tc>
        <w:tc>
          <w:tcPr>
            <w:tcW w:w="108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15F3E2B3" w14:textId="77777777" w:rsidR="00E10293" w:rsidRPr="00E00F6D" w:rsidRDefault="00E10293" w:rsidP="00DC3AE8">
            <w:pPr>
              <w:widowControl w:val="0"/>
              <w:autoSpaceDE w:val="0"/>
              <w:autoSpaceDN w:val="0"/>
              <w:adjustRightInd w:val="0"/>
              <w:rPr>
                <w:rFonts w:ascii="Times-Roman" w:hAnsi="Times-Roman"/>
                <w:color w:val="000000"/>
              </w:rPr>
            </w:pPr>
          </w:p>
        </w:tc>
        <w:tc>
          <w:tcPr>
            <w:tcW w:w="99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484CB40F" w14:textId="77777777" w:rsidR="00E10293" w:rsidRPr="00E00F6D" w:rsidRDefault="00E10293" w:rsidP="00DC3AE8">
            <w:pPr>
              <w:widowControl w:val="0"/>
              <w:autoSpaceDE w:val="0"/>
              <w:autoSpaceDN w:val="0"/>
              <w:adjustRightInd w:val="0"/>
              <w:rPr>
                <w:rFonts w:ascii="Times-Roman" w:hAnsi="Times-Roman"/>
                <w:color w:val="000000"/>
              </w:rPr>
            </w:pPr>
          </w:p>
        </w:tc>
        <w:tc>
          <w:tcPr>
            <w:tcW w:w="99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41A484C8" w14:textId="77777777" w:rsidR="00E10293" w:rsidRPr="00E00F6D" w:rsidRDefault="00E10293" w:rsidP="00DC3AE8">
            <w:pPr>
              <w:widowControl w:val="0"/>
              <w:autoSpaceDE w:val="0"/>
              <w:autoSpaceDN w:val="0"/>
              <w:adjustRightInd w:val="0"/>
              <w:rPr>
                <w:rFonts w:ascii="Times-Roman" w:hAnsi="Times-Roman"/>
                <w:color w:val="000000"/>
              </w:rPr>
            </w:pPr>
          </w:p>
        </w:tc>
        <w:tc>
          <w:tcPr>
            <w:tcW w:w="99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5F86C49F" w14:textId="77777777" w:rsidR="00E10293" w:rsidRPr="00E00F6D" w:rsidRDefault="00E10293" w:rsidP="00DC3AE8">
            <w:pPr>
              <w:widowControl w:val="0"/>
              <w:autoSpaceDE w:val="0"/>
              <w:autoSpaceDN w:val="0"/>
              <w:adjustRightInd w:val="0"/>
              <w:rPr>
                <w:rFonts w:ascii="Times-Roman" w:hAnsi="Times-Roman"/>
                <w:color w:val="000000"/>
              </w:rPr>
            </w:pPr>
          </w:p>
        </w:tc>
        <w:tc>
          <w:tcPr>
            <w:tcW w:w="864"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5031EB0B" w14:textId="77777777" w:rsidR="00E10293" w:rsidRPr="00E00F6D" w:rsidRDefault="00E10293" w:rsidP="00DC3AE8">
            <w:pPr>
              <w:widowControl w:val="0"/>
              <w:autoSpaceDE w:val="0"/>
              <w:autoSpaceDN w:val="0"/>
              <w:adjustRightInd w:val="0"/>
              <w:rPr>
                <w:rFonts w:ascii="Times-Roman" w:hAnsi="Times-Roman"/>
                <w:color w:val="000000"/>
              </w:rPr>
            </w:pPr>
          </w:p>
        </w:tc>
        <w:tc>
          <w:tcPr>
            <w:tcW w:w="864"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2612D253" w14:textId="77777777" w:rsidR="00E10293" w:rsidRPr="00E00F6D" w:rsidRDefault="00E10293" w:rsidP="00DC3AE8">
            <w:pPr>
              <w:widowControl w:val="0"/>
              <w:autoSpaceDE w:val="0"/>
              <w:autoSpaceDN w:val="0"/>
              <w:adjustRightInd w:val="0"/>
              <w:rPr>
                <w:rFonts w:ascii="Times-Roman" w:hAnsi="Times-Roman"/>
                <w:color w:val="000000"/>
              </w:rPr>
            </w:pPr>
          </w:p>
        </w:tc>
      </w:tr>
      <w:tr w:rsidR="00E10293" w:rsidRPr="00E00F6D" w14:paraId="7A6B3755" w14:textId="77777777" w:rsidTr="00E10293">
        <w:tblPrEx>
          <w:tblBorders>
            <w:top w:val="none" w:sz="0" w:space="0" w:color="auto"/>
          </w:tblBorders>
        </w:tblPrEx>
        <w:tc>
          <w:tcPr>
            <w:tcW w:w="4338"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26E70216" w14:textId="77777777" w:rsidR="00E10293" w:rsidRPr="00E00F6D" w:rsidRDefault="00E10293" w:rsidP="00DC3AE8">
            <w:pPr>
              <w:widowControl w:val="0"/>
              <w:autoSpaceDE w:val="0"/>
              <w:autoSpaceDN w:val="0"/>
              <w:adjustRightInd w:val="0"/>
              <w:rPr>
                <w:rFonts w:ascii="Times-Roman" w:hAnsi="Times-Roman"/>
                <w:color w:val="000000"/>
              </w:rPr>
            </w:pPr>
          </w:p>
        </w:tc>
        <w:tc>
          <w:tcPr>
            <w:tcW w:w="108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0747C0E4" w14:textId="77777777" w:rsidR="00E10293" w:rsidRPr="00E00F6D" w:rsidRDefault="00E10293" w:rsidP="00DC3AE8">
            <w:pPr>
              <w:widowControl w:val="0"/>
              <w:autoSpaceDE w:val="0"/>
              <w:autoSpaceDN w:val="0"/>
              <w:adjustRightInd w:val="0"/>
              <w:rPr>
                <w:rFonts w:ascii="Times-Roman" w:hAnsi="Times-Roman"/>
                <w:color w:val="000000"/>
              </w:rPr>
            </w:pPr>
          </w:p>
        </w:tc>
        <w:tc>
          <w:tcPr>
            <w:tcW w:w="90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66BF9576" w14:textId="77777777" w:rsidR="00E10293" w:rsidRPr="00E00F6D" w:rsidRDefault="00E10293" w:rsidP="00DC3AE8">
            <w:pPr>
              <w:widowControl w:val="0"/>
              <w:autoSpaceDE w:val="0"/>
              <w:autoSpaceDN w:val="0"/>
              <w:adjustRightInd w:val="0"/>
              <w:rPr>
                <w:rFonts w:ascii="Times-Roman" w:hAnsi="Times-Roman"/>
                <w:color w:val="000000"/>
              </w:rPr>
            </w:pPr>
          </w:p>
        </w:tc>
        <w:tc>
          <w:tcPr>
            <w:tcW w:w="81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5ED5B744" w14:textId="77777777" w:rsidR="00E10293" w:rsidRPr="00E00F6D" w:rsidRDefault="00E10293" w:rsidP="00DC3AE8">
            <w:pPr>
              <w:widowControl w:val="0"/>
              <w:autoSpaceDE w:val="0"/>
              <w:autoSpaceDN w:val="0"/>
              <w:adjustRightInd w:val="0"/>
              <w:rPr>
                <w:rFonts w:ascii="Times-Roman" w:hAnsi="Times-Roman"/>
                <w:color w:val="000000"/>
              </w:rPr>
            </w:pPr>
          </w:p>
        </w:tc>
        <w:tc>
          <w:tcPr>
            <w:tcW w:w="108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47E49F05" w14:textId="77777777" w:rsidR="00E10293" w:rsidRPr="00E00F6D" w:rsidRDefault="00E10293" w:rsidP="00DC3AE8">
            <w:pPr>
              <w:widowControl w:val="0"/>
              <w:autoSpaceDE w:val="0"/>
              <w:autoSpaceDN w:val="0"/>
              <w:adjustRightInd w:val="0"/>
              <w:rPr>
                <w:rFonts w:ascii="Times-Roman" w:hAnsi="Times-Roman"/>
                <w:color w:val="000000"/>
              </w:rPr>
            </w:pPr>
          </w:p>
        </w:tc>
        <w:tc>
          <w:tcPr>
            <w:tcW w:w="99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28B54B33" w14:textId="77777777" w:rsidR="00E10293" w:rsidRPr="00E00F6D" w:rsidRDefault="00E10293" w:rsidP="00DC3AE8">
            <w:pPr>
              <w:widowControl w:val="0"/>
              <w:autoSpaceDE w:val="0"/>
              <w:autoSpaceDN w:val="0"/>
              <w:adjustRightInd w:val="0"/>
              <w:rPr>
                <w:rFonts w:ascii="Times-Roman" w:hAnsi="Times-Roman"/>
                <w:color w:val="000000"/>
              </w:rPr>
            </w:pPr>
          </w:p>
        </w:tc>
        <w:tc>
          <w:tcPr>
            <w:tcW w:w="99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4E12A8D6" w14:textId="77777777" w:rsidR="00E10293" w:rsidRPr="00E00F6D" w:rsidRDefault="00E10293" w:rsidP="00DC3AE8">
            <w:pPr>
              <w:widowControl w:val="0"/>
              <w:autoSpaceDE w:val="0"/>
              <w:autoSpaceDN w:val="0"/>
              <w:adjustRightInd w:val="0"/>
              <w:rPr>
                <w:rFonts w:ascii="Times-Roman" w:hAnsi="Times-Roman"/>
                <w:color w:val="000000"/>
              </w:rPr>
            </w:pPr>
          </w:p>
        </w:tc>
        <w:tc>
          <w:tcPr>
            <w:tcW w:w="99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3CE3F442" w14:textId="77777777" w:rsidR="00E10293" w:rsidRPr="00E00F6D" w:rsidRDefault="00E10293" w:rsidP="00DC3AE8">
            <w:pPr>
              <w:widowControl w:val="0"/>
              <w:autoSpaceDE w:val="0"/>
              <w:autoSpaceDN w:val="0"/>
              <w:adjustRightInd w:val="0"/>
              <w:rPr>
                <w:rFonts w:ascii="Times-Roman" w:hAnsi="Times-Roman"/>
                <w:color w:val="000000"/>
              </w:rPr>
            </w:pPr>
          </w:p>
        </w:tc>
        <w:tc>
          <w:tcPr>
            <w:tcW w:w="864"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101E4BA4" w14:textId="77777777" w:rsidR="00E10293" w:rsidRPr="00E00F6D" w:rsidRDefault="00E10293" w:rsidP="00DC3AE8">
            <w:pPr>
              <w:widowControl w:val="0"/>
              <w:autoSpaceDE w:val="0"/>
              <w:autoSpaceDN w:val="0"/>
              <w:adjustRightInd w:val="0"/>
              <w:rPr>
                <w:rFonts w:ascii="Times-Roman" w:hAnsi="Times-Roman"/>
                <w:color w:val="000000"/>
              </w:rPr>
            </w:pPr>
          </w:p>
        </w:tc>
        <w:tc>
          <w:tcPr>
            <w:tcW w:w="864"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754886E0" w14:textId="77777777" w:rsidR="00E10293" w:rsidRPr="00E00F6D" w:rsidRDefault="00E10293" w:rsidP="00DC3AE8">
            <w:pPr>
              <w:widowControl w:val="0"/>
              <w:autoSpaceDE w:val="0"/>
              <w:autoSpaceDN w:val="0"/>
              <w:adjustRightInd w:val="0"/>
              <w:rPr>
                <w:rFonts w:ascii="Times-Roman" w:hAnsi="Times-Roman"/>
                <w:color w:val="000000"/>
              </w:rPr>
            </w:pPr>
          </w:p>
        </w:tc>
      </w:tr>
      <w:tr w:rsidR="00E10293" w:rsidRPr="00E00F6D" w14:paraId="643F9D1A" w14:textId="77777777" w:rsidTr="00E10293">
        <w:tblPrEx>
          <w:tblBorders>
            <w:top w:val="none" w:sz="0" w:space="0" w:color="auto"/>
          </w:tblBorders>
        </w:tblPrEx>
        <w:tc>
          <w:tcPr>
            <w:tcW w:w="1290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nil"/>
              <w:right w:w="100" w:type="nil"/>
            </w:tcMar>
            <w:vAlign w:val="center"/>
          </w:tcPr>
          <w:p w14:paraId="21B2D26E" w14:textId="2DD19DCB" w:rsidR="00E10293" w:rsidRPr="00E00F6D" w:rsidRDefault="00E10293" w:rsidP="00DC3AE8">
            <w:pPr>
              <w:widowControl w:val="0"/>
              <w:autoSpaceDE w:val="0"/>
              <w:autoSpaceDN w:val="0"/>
              <w:adjustRightInd w:val="0"/>
              <w:rPr>
                <w:rFonts w:ascii="Times-Roman" w:hAnsi="Times-Roman"/>
                <w:color w:val="000000"/>
              </w:rPr>
            </w:pPr>
            <w:r w:rsidRPr="00E00F6D">
              <w:rPr>
                <w:rFonts w:ascii="Times-Roman" w:hAnsi="Times-Roman"/>
                <w:color w:val="000000"/>
              </w:rPr>
              <w:t>Other Courses</w:t>
            </w:r>
          </w:p>
        </w:tc>
      </w:tr>
      <w:tr w:rsidR="00E10293" w:rsidRPr="00E00F6D" w14:paraId="0F4AC95C" w14:textId="77777777" w:rsidTr="00E10293">
        <w:tblPrEx>
          <w:tblBorders>
            <w:top w:val="none" w:sz="0" w:space="0" w:color="auto"/>
          </w:tblBorders>
        </w:tblPrEx>
        <w:tc>
          <w:tcPr>
            <w:tcW w:w="4338"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777AD1CC" w14:textId="77777777" w:rsidR="00E10293" w:rsidRPr="00E00F6D" w:rsidRDefault="00E10293" w:rsidP="00DC3AE8">
            <w:pPr>
              <w:widowControl w:val="0"/>
              <w:autoSpaceDE w:val="0"/>
              <w:autoSpaceDN w:val="0"/>
              <w:adjustRightInd w:val="0"/>
              <w:rPr>
                <w:rFonts w:ascii="Times-Roman" w:hAnsi="Times-Roman"/>
                <w:color w:val="000000"/>
              </w:rPr>
            </w:pPr>
          </w:p>
        </w:tc>
        <w:tc>
          <w:tcPr>
            <w:tcW w:w="108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3DCF79C4" w14:textId="77777777" w:rsidR="00E10293" w:rsidRPr="00E00F6D" w:rsidRDefault="00E10293" w:rsidP="00DC3AE8">
            <w:pPr>
              <w:widowControl w:val="0"/>
              <w:autoSpaceDE w:val="0"/>
              <w:autoSpaceDN w:val="0"/>
              <w:adjustRightInd w:val="0"/>
              <w:rPr>
                <w:rFonts w:ascii="Times-Roman" w:hAnsi="Times-Roman"/>
                <w:color w:val="000000"/>
              </w:rPr>
            </w:pPr>
          </w:p>
        </w:tc>
        <w:tc>
          <w:tcPr>
            <w:tcW w:w="90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5B7F3B61" w14:textId="77777777" w:rsidR="00E10293" w:rsidRPr="00E00F6D" w:rsidRDefault="00E10293" w:rsidP="00DC3AE8">
            <w:pPr>
              <w:widowControl w:val="0"/>
              <w:autoSpaceDE w:val="0"/>
              <w:autoSpaceDN w:val="0"/>
              <w:adjustRightInd w:val="0"/>
              <w:rPr>
                <w:rFonts w:ascii="Times-Roman" w:hAnsi="Times-Roman"/>
                <w:color w:val="000000"/>
              </w:rPr>
            </w:pPr>
          </w:p>
        </w:tc>
        <w:tc>
          <w:tcPr>
            <w:tcW w:w="81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3B15D6A6" w14:textId="77777777" w:rsidR="00E10293" w:rsidRPr="00E00F6D" w:rsidRDefault="00E10293" w:rsidP="00DC3AE8">
            <w:pPr>
              <w:widowControl w:val="0"/>
              <w:autoSpaceDE w:val="0"/>
              <w:autoSpaceDN w:val="0"/>
              <w:adjustRightInd w:val="0"/>
              <w:rPr>
                <w:rFonts w:ascii="Times-Roman" w:hAnsi="Times-Roman"/>
                <w:color w:val="000000"/>
              </w:rPr>
            </w:pPr>
          </w:p>
        </w:tc>
        <w:tc>
          <w:tcPr>
            <w:tcW w:w="108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4FD8730C" w14:textId="77777777" w:rsidR="00E10293" w:rsidRPr="00E00F6D" w:rsidRDefault="00E10293" w:rsidP="00DC3AE8">
            <w:pPr>
              <w:widowControl w:val="0"/>
              <w:autoSpaceDE w:val="0"/>
              <w:autoSpaceDN w:val="0"/>
              <w:adjustRightInd w:val="0"/>
              <w:rPr>
                <w:rFonts w:ascii="Times-Roman" w:hAnsi="Times-Roman"/>
                <w:color w:val="000000"/>
              </w:rPr>
            </w:pPr>
          </w:p>
        </w:tc>
        <w:tc>
          <w:tcPr>
            <w:tcW w:w="99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3DC27DE8" w14:textId="77777777" w:rsidR="00E10293" w:rsidRPr="00E00F6D" w:rsidRDefault="00E10293" w:rsidP="00DC3AE8">
            <w:pPr>
              <w:widowControl w:val="0"/>
              <w:autoSpaceDE w:val="0"/>
              <w:autoSpaceDN w:val="0"/>
              <w:adjustRightInd w:val="0"/>
              <w:rPr>
                <w:rFonts w:ascii="Times-Roman" w:hAnsi="Times-Roman"/>
                <w:color w:val="000000"/>
              </w:rPr>
            </w:pPr>
          </w:p>
        </w:tc>
        <w:tc>
          <w:tcPr>
            <w:tcW w:w="99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6965125B" w14:textId="77777777" w:rsidR="00E10293" w:rsidRPr="00E00F6D" w:rsidRDefault="00E10293" w:rsidP="00DC3AE8">
            <w:pPr>
              <w:widowControl w:val="0"/>
              <w:autoSpaceDE w:val="0"/>
              <w:autoSpaceDN w:val="0"/>
              <w:adjustRightInd w:val="0"/>
              <w:rPr>
                <w:rFonts w:ascii="Times-Roman" w:hAnsi="Times-Roman"/>
                <w:color w:val="000000"/>
              </w:rPr>
            </w:pPr>
          </w:p>
        </w:tc>
        <w:tc>
          <w:tcPr>
            <w:tcW w:w="99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657E2E88" w14:textId="77777777" w:rsidR="00E10293" w:rsidRPr="00E00F6D" w:rsidRDefault="00E10293" w:rsidP="00DC3AE8">
            <w:pPr>
              <w:widowControl w:val="0"/>
              <w:autoSpaceDE w:val="0"/>
              <w:autoSpaceDN w:val="0"/>
              <w:adjustRightInd w:val="0"/>
              <w:rPr>
                <w:rFonts w:ascii="Times-Roman" w:hAnsi="Times-Roman"/>
                <w:color w:val="000000"/>
              </w:rPr>
            </w:pPr>
          </w:p>
        </w:tc>
        <w:tc>
          <w:tcPr>
            <w:tcW w:w="864"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34CC12D0" w14:textId="77777777" w:rsidR="00E10293" w:rsidRPr="00E00F6D" w:rsidRDefault="00E10293" w:rsidP="00DC3AE8">
            <w:pPr>
              <w:widowControl w:val="0"/>
              <w:autoSpaceDE w:val="0"/>
              <w:autoSpaceDN w:val="0"/>
              <w:adjustRightInd w:val="0"/>
              <w:rPr>
                <w:rFonts w:ascii="Times-Roman" w:hAnsi="Times-Roman"/>
                <w:color w:val="000000"/>
              </w:rPr>
            </w:pPr>
          </w:p>
        </w:tc>
        <w:tc>
          <w:tcPr>
            <w:tcW w:w="864"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13FA95A0" w14:textId="77777777" w:rsidR="00E10293" w:rsidRPr="00E00F6D" w:rsidRDefault="00E10293" w:rsidP="00DC3AE8">
            <w:pPr>
              <w:widowControl w:val="0"/>
              <w:autoSpaceDE w:val="0"/>
              <w:autoSpaceDN w:val="0"/>
              <w:adjustRightInd w:val="0"/>
              <w:rPr>
                <w:rFonts w:ascii="Times-Roman" w:hAnsi="Times-Roman"/>
                <w:color w:val="000000"/>
              </w:rPr>
            </w:pPr>
          </w:p>
        </w:tc>
      </w:tr>
      <w:tr w:rsidR="00E10293" w:rsidRPr="00E00F6D" w14:paraId="3434C167" w14:textId="77777777" w:rsidTr="00E10293">
        <w:tblPrEx>
          <w:tblBorders>
            <w:top w:val="none" w:sz="0" w:space="0" w:color="auto"/>
          </w:tblBorders>
        </w:tblPrEx>
        <w:tc>
          <w:tcPr>
            <w:tcW w:w="4338"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431B84AC" w14:textId="77777777" w:rsidR="00E10293" w:rsidRPr="00E00F6D" w:rsidRDefault="00E10293" w:rsidP="00DC3AE8">
            <w:pPr>
              <w:widowControl w:val="0"/>
              <w:autoSpaceDE w:val="0"/>
              <w:autoSpaceDN w:val="0"/>
              <w:adjustRightInd w:val="0"/>
              <w:rPr>
                <w:rFonts w:ascii="Times-Roman" w:hAnsi="Times-Roman"/>
                <w:color w:val="000000"/>
              </w:rPr>
            </w:pPr>
          </w:p>
        </w:tc>
        <w:tc>
          <w:tcPr>
            <w:tcW w:w="108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11BD8172" w14:textId="77777777" w:rsidR="00E10293" w:rsidRPr="00E00F6D" w:rsidRDefault="00E10293" w:rsidP="00DC3AE8">
            <w:pPr>
              <w:widowControl w:val="0"/>
              <w:autoSpaceDE w:val="0"/>
              <w:autoSpaceDN w:val="0"/>
              <w:adjustRightInd w:val="0"/>
              <w:rPr>
                <w:rFonts w:ascii="Times-Roman" w:hAnsi="Times-Roman"/>
                <w:color w:val="000000"/>
              </w:rPr>
            </w:pPr>
          </w:p>
        </w:tc>
        <w:tc>
          <w:tcPr>
            <w:tcW w:w="90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2E1BA66A" w14:textId="77777777" w:rsidR="00E10293" w:rsidRPr="00E00F6D" w:rsidRDefault="00E10293" w:rsidP="00DC3AE8">
            <w:pPr>
              <w:widowControl w:val="0"/>
              <w:autoSpaceDE w:val="0"/>
              <w:autoSpaceDN w:val="0"/>
              <w:adjustRightInd w:val="0"/>
              <w:rPr>
                <w:rFonts w:ascii="Times-Roman" w:hAnsi="Times-Roman"/>
                <w:color w:val="000000"/>
              </w:rPr>
            </w:pPr>
          </w:p>
        </w:tc>
        <w:tc>
          <w:tcPr>
            <w:tcW w:w="81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75CC0C97" w14:textId="77777777" w:rsidR="00E10293" w:rsidRPr="00E00F6D" w:rsidRDefault="00E10293" w:rsidP="00DC3AE8">
            <w:pPr>
              <w:widowControl w:val="0"/>
              <w:autoSpaceDE w:val="0"/>
              <w:autoSpaceDN w:val="0"/>
              <w:adjustRightInd w:val="0"/>
              <w:rPr>
                <w:rFonts w:ascii="Times-Roman" w:hAnsi="Times-Roman"/>
                <w:color w:val="000000"/>
              </w:rPr>
            </w:pPr>
          </w:p>
        </w:tc>
        <w:tc>
          <w:tcPr>
            <w:tcW w:w="108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300C0620" w14:textId="77777777" w:rsidR="00E10293" w:rsidRPr="00E00F6D" w:rsidRDefault="00E10293" w:rsidP="00DC3AE8">
            <w:pPr>
              <w:widowControl w:val="0"/>
              <w:autoSpaceDE w:val="0"/>
              <w:autoSpaceDN w:val="0"/>
              <w:adjustRightInd w:val="0"/>
              <w:rPr>
                <w:rFonts w:ascii="Times-Roman" w:hAnsi="Times-Roman"/>
                <w:color w:val="000000"/>
              </w:rPr>
            </w:pPr>
          </w:p>
        </w:tc>
        <w:tc>
          <w:tcPr>
            <w:tcW w:w="99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5853CA79" w14:textId="77777777" w:rsidR="00E10293" w:rsidRPr="00E00F6D" w:rsidRDefault="00E10293" w:rsidP="00DC3AE8">
            <w:pPr>
              <w:widowControl w:val="0"/>
              <w:autoSpaceDE w:val="0"/>
              <w:autoSpaceDN w:val="0"/>
              <w:adjustRightInd w:val="0"/>
              <w:rPr>
                <w:rFonts w:ascii="Times-Roman" w:hAnsi="Times-Roman"/>
                <w:color w:val="000000"/>
              </w:rPr>
            </w:pPr>
          </w:p>
        </w:tc>
        <w:tc>
          <w:tcPr>
            <w:tcW w:w="99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218B5D6C" w14:textId="77777777" w:rsidR="00E10293" w:rsidRPr="00E00F6D" w:rsidRDefault="00E10293" w:rsidP="00DC3AE8">
            <w:pPr>
              <w:widowControl w:val="0"/>
              <w:autoSpaceDE w:val="0"/>
              <w:autoSpaceDN w:val="0"/>
              <w:adjustRightInd w:val="0"/>
              <w:rPr>
                <w:rFonts w:ascii="Times-Roman" w:hAnsi="Times-Roman"/>
                <w:color w:val="000000"/>
              </w:rPr>
            </w:pPr>
          </w:p>
        </w:tc>
        <w:tc>
          <w:tcPr>
            <w:tcW w:w="99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7A8BCD6D" w14:textId="77777777" w:rsidR="00E10293" w:rsidRPr="00E00F6D" w:rsidRDefault="00E10293" w:rsidP="00DC3AE8">
            <w:pPr>
              <w:widowControl w:val="0"/>
              <w:autoSpaceDE w:val="0"/>
              <w:autoSpaceDN w:val="0"/>
              <w:adjustRightInd w:val="0"/>
              <w:rPr>
                <w:rFonts w:ascii="Times-Roman" w:hAnsi="Times-Roman"/>
                <w:color w:val="000000"/>
              </w:rPr>
            </w:pPr>
          </w:p>
        </w:tc>
        <w:tc>
          <w:tcPr>
            <w:tcW w:w="864"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6054BC97" w14:textId="77777777" w:rsidR="00E10293" w:rsidRPr="00E00F6D" w:rsidRDefault="00E10293" w:rsidP="00DC3AE8">
            <w:pPr>
              <w:widowControl w:val="0"/>
              <w:autoSpaceDE w:val="0"/>
              <w:autoSpaceDN w:val="0"/>
              <w:adjustRightInd w:val="0"/>
              <w:rPr>
                <w:rFonts w:ascii="Times-Roman" w:hAnsi="Times-Roman"/>
                <w:color w:val="000000"/>
              </w:rPr>
            </w:pPr>
          </w:p>
        </w:tc>
        <w:tc>
          <w:tcPr>
            <w:tcW w:w="864"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2DD3DF92" w14:textId="77777777" w:rsidR="00E10293" w:rsidRPr="00E00F6D" w:rsidRDefault="00E10293" w:rsidP="00DC3AE8">
            <w:pPr>
              <w:widowControl w:val="0"/>
              <w:autoSpaceDE w:val="0"/>
              <w:autoSpaceDN w:val="0"/>
              <w:adjustRightInd w:val="0"/>
              <w:rPr>
                <w:rFonts w:ascii="Times-Roman" w:hAnsi="Times-Roman"/>
                <w:color w:val="000000"/>
              </w:rPr>
            </w:pPr>
          </w:p>
        </w:tc>
      </w:tr>
      <w:tr w:rsidR="00E10293" w:rsidRPr="00E00F6D" w14:paraId="2ADF986E" w14:textId="77777777" w:rsidTr="00E10293">
        <w:tblPrEx>
          <w:tblBorders>
            <w:top w:val="none" w:sz="0" w:space="0" w:color="auto"/>
          </w:tblBorders>
        </w:tblPrEx>
        <w:tc>
          <w:tcPr>
            <w:tcW w:w="1290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nil"/>
              <w:right w:w="100" w:type="nil"/>
            </w:tcMar>
            <w:vAlign w:val="center"/>
          </w:tcPr>
          <w:p w14:paraId="2427EDEE" w14:textId="63C121AE" w:rsidR="00E10293" w:rsidRPr="00E00F6D" w:rsidRDefault="00E10293" w:rsidP="00DC3AE8">
            <w:pPr>
              <w:widowControl w:val="0"/>
              <w:autoSpaceDE w:val="0"/>
              <w:autoSpaceDN w:val="0"/>
              <w:adjustRightInd w:val="0"/>
              <w:rPr>
                <w:rFonts w:ascii="Times-Roman" w:hAnsi="Times-Roman"/>
                <w:color w:val="000000"/>
              </w:rPr>
            </w:pPr>
            <w:r w:rsidRPr="00E00F6D">
              <w:rPr>
                <w:rFonts w:ascii="Times-Roman" w:hAnsi="Times-Roman"/>
                <w:color w:val="000000"/>
              </w:rPr>
              <w:t>Professional Experience</w:t>
            </w:r>
          </w:p>
        </w:tc>
      </w:tr>
      <w:tr w:rsidR="00E10293" w:rsidRPr="00E00F6D" w14:paraId="25C8C3AC" w14:textId="77777777" w:rsidTr="00E10293">
        <w:tblPrEx>
          <w:tblBorders>
            <w:top w:val="none" w:sz="0" w:space="0" w:color="auto"/>
          </w:tblBorders>
        </w:tblPrEx>
        <w:tc>
          <w:tcPr>
            <w:tcW w:w="4338"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5EE78D0D" w14:textId="77777777" w:rsidR="00E10293" w:rsidRPr="00E00F6D" w:rsidRDefault="00E10293" w:rsidP="00DC3AE8">
            <w:pPr>
              <w:widowControl w:val="0"/>
              <w:autoSpaceDE w:val="0"/>
              <w:autoSpaceDN w:val="0"/>
              <w:adjustRightInd w:val="0"/>
              <w:rPr>
                <w:rFonts w:ascii="Times-Roman" w:hAnsi="Times-Roman"/>
                <w:color w:val="000000"/>
              </w:rPr>
            </w:pPr>
          </w:p>
        </w:tc>
        <w:tc>
          <w:tcPr>
            <w:tcW w:w="108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741B046F" w14:textId="77777777" w:rsidR="00E10293" w:rsidRPr="00E00F6D" w:rsidRDefault="00E10293" w:rsidP="00DC3AE8">
            <w:pPr>
              <w:widowControl w:val="0"/>
              <w:autoSpaceDE w:val="0"/>
              <w:autoSpaceDN w:val="0"/>
              <w:adjustRightInd w:val="0"/>
              <w:rPr>
                <w:rFonts w:ascii="Times-Roman" w:hAnsi="Times-Roman"/>
                <w:color w:val="000000"/>
              </w:rPr>
            </w:pPr>
          </w:p>
        </w:tc>
        <w:tc>
          <w:tcPr>
            <w:tcW w:w="90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4B8618ED" w14:textId="77777777" w:rsidR="00E10293" w:rsidRPr="00E00F6D" w:rsidRDefault="00E10293" w:rsidP="00DC3AE8">
            <w:pPr>
              <w:widowControl w:val="0"/>
              <w:autoSpaceDE w:val="0"/>
              <w:autoSpaceDN w:val="0"/>
              <w:adjustRightInd w:val="0"/>
              <w:rPr>
                <w:rFonts w:ascii="Times-Roman" w:hAnsi="Times-Roman"/>
                <w:color w:val="000000"/>
              </w:rPr>
            </w:pPr>
          </w:p>
        </w:tc>
        <w:tc>
          <w:tcPr>
            <w:tcW w:w="81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727706A6" w14:textId="77777777" w:rsidR="00E10293" w:rsidRPr="00E00F6D" w:rsidRDefault="00E10293" w:rsidP="00DC3AE8">
            <w:pPr>
              <w:widowControl w:val="0"/>
              <w:autoSpaceDE w:val="0"/>
              <w:autoSpaceDN w:val="0"/>
              <w:adjustRightInd w:val="0"/>
              <w:rPr>
                <w:rFonts w:ascii="Times-Roman" w:hAnsi="Times-Roman"/>
                <w:color w:val="000000"/>
              </w:rPr>
            </w:pPr>
          </w:p>
        </w:tc>
        <w:tc>
          <w:tcPr>
            <w:tcW w:w="108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5B47043E" w14:textId="77777777" w:rsidR="00E10293" w:rsidRPr="00E00F6D" w:rsidRDefault="00E10293" w:rsidP="00DC3AE8">
            <w:pPr>
              <w:widowControl w:val="0"/>
              <w:autoSpaceDE w:val="0"/>
              <w:autoSpaceDN w:val="0"/>
              <w:adjustRightInd w:val="0"/>
              <w:rPr>
                <w:rFonts w:ascii="Times-Roman" w:hAnsi="Times-Roman"/>
                <w:color w:val="000000"/>
              </w:rPr>
            </w:pPr>
          </w:p>
        </w:tc>
        <w:tc>
          <w:tcPr>
            <w:tcW w:w="99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4E7A94C4" w14:textId="77777777" w:rsidR="00E10293" w:rsidRPr="00E00F6D" w:rsidRDefault="00E10293" w:rsidP="00DC3AE8">
            <w:pPr>
              <w:widowControl w:val="0"/>
              <w:autoSpaceDE w:val="0"/>
              <w:autoSpaceDN w:val="0"/>
              <w:adjustRightInd w:val="0"/>
              <w:rPr>
                <w:rFonts w:ascii="Times-Roman" w:hAnsi="Times-Roman"/>
                <w:color w:val="000000"/>
              </w:rPr>
            </w:pPr>
          </w:p>
        </w:tc>
        <w:tc>
          <w:tcPr>
            <w:tcW w:w="99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4FA9FFAA" w14:textId="77777777" w:rsidR="00E10293" w:rsidRPr="00E00F6D" w:rsidRDefault="00E10293" w:rsidP="00DC3AE8">
            <w:pPr>
              <w:widowControl w:val="0"/>
              <w:autoSpaceDE w:val="0"/>
              <w:autoSpaceDN w:val="0"/>
              <w:adjustRightInd w:val="0"/>
              <w:rPr>
                <w:rFonts w:ascii="Times-Roman" w:hAnsi="Times-Roman"/>
                <w:color w:val="000000"/>
              </w:rPr>
            </w:pPr>
          </w:p>
        </w:tc>
        <w:tc>
          <w:tcPr>
            <w:tcW w:w="99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47C1FC24" w14:textId="77777777" w:rsidR="00E10293" w:rsidRPr="00E00F6D" w:rsidRDefault="00E10293" w:rsidP="00DC3AE8">
            <w:pPr>
              <w:widowControl w:val="0"/>
              <w:autoSpaceDE w:val="0"/>
              <w:autoSpaceDN w:val="0"/>
              <w:adjustRightInd w:val="0"/>
              <w:rPr>
                <w:rFonts w:ascii="Times-Roman" w:hAnsi="Times-Roman"/>
                <w:color w:val="000000"/>
              </w:rPr>
            </w:pPr>
          </w:p>
        </w:tc>
        <w:tc>
          <w:tcPr>
            <w:tcW w:w="864"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77F2D3AE" w14:textId="77777777" w:rsidR="00E10293" w:rsidRPr="00E00F6D" w:rsidRDefault="00E10293" w:rsidP="00DC3AE8">
            <w:pPr>
              <w:widowControl w:val="0"/>
              <w:autoSpaceDE w:val="0"/>
              <w:autoSpaceDN w:val="0"/>
              <w:adjustRightInd w:val="0"/>
              <w:rPr>
                <w:rFonts w:ascii="Times-Roman" w:hAnsi="Times-Roman"/>
                <w:color w:val="000000"/>
              </w:rPr>
            </w:pPr>
          </w:p>
        </w:tc>
        <w:tc>
          <w:tcPr>
            <w:tcW w:w="864"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39AFBBEA" w14:textId="77777777" w:rsidR="00E10293" w:rsidRPr="00E00F6D" w:rsidRDefault="00E10293" w:rsidP="00DC3AE8">
            <w:pPr>
              <w:widowControl w:val="0"/>
              <w:autoSpaceDE w:val="0"/>
              <w:autoSpaceDN w:val="0"/>
              <w:adjustRightInd w:val="0"/>
              <w:rPr>
                <w:rFonts w:ascii="Times-Roman" w:hAnsi="Times-Roman"/>
                <w:color w:val="000000"/>
              </w:rPr>
            </w:pPr>
          </w:p>
        </w:tc>
      </w:tr>
      <w:tr w:rsidR="00E10293" w:rsidRPr="00E00F6D" w14:paraId="5EC1E06A" w14:textId="77777777" w:rsidTr="00E10293">
        <w:tblPrEx>
          <w:tblBorders>
            <w:top w:val="none" w:sz="0" w:space="0" w:color="auto"/>
          </w:tblBorders>
        </w:tblPrEx>
        <w:tc>
          <w:tcPr>
            <w:tcW w:w="4338"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220751C9" w14:textId="77777777" w:rsidR="00E10293" w:rsidRPr="00E00F6D" w:rsidRDefault="00E10293" w:rsidP="00DC3AE8">
            <w:pPr>
              <w:widowControl w:val="0"/>
              <w:autoSpaceDE w:val="0"/>
              <w:autoSpaceDN w:val="0"/>
              <w:adjustRightInd w:val="0"/>
              <w:rPr>
                <w:rFonts w:ascii="Times-Roman" w:hAnsi="Times-Roman"/>
                <w:color w:val="000000"/>
              </w:rPr>
            </w:pPr>
          </w:p>
        </w:tc>
        <w:tc>
          <w:tcPr>
            <w:tcW w:w="108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0DD95D9F" w14:textId="77777777" w:rsidR="00E10293" w:rsidRPr="00E00F6D" w:rsidRDefault="00E10293" w:rsidP="00DC3AE8">
            <w:pPr>
              <w:widowControl w:val="0"/>
              <w:autoSpaceDE w:val="0"/>
              <w:autoSpaceDN w:val="0"/>
              <w:adjustRightInd w:val="0"/>
              <w:rPr>
                <w:rFonts w:ascii="Times-Roman" w:hAnsi="Times-Roman"/>
                <w:color w:val="000000"/>
              </w:rPr>
            </w:pPr>
          </w:p>
        </w:tc>
        <w:tc>
          <w:tcPr>
            <w:tcW w:w="90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66E948D1" w14:textId="77777777" w:rsidR="00E10293" w:rsidRPr="00E00F6D" w:rsidRDefault="00E10293" w:rsidP="00DC3AE8">
            <w:pPr>
              <w:widowControl w:val="0"/>
              <w:autoSpaceDE w:val="0"/>
              <w:autoSpaceDN w:val="0"/>
              <w:adjustRightInd w:val="0"/>
              <w:rPr>
                <w:rFonts w:ascii="Times-Roman" w:hAnsi="Times-Roman"/>
                <w:color w:val="000000"/>
              </w:rPr>
            </w:pPr>
          </w:p>
        </w:tc>
        <w:tc>
          <w:tcPr>
            <w:tcW w:w="81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1E9B72A3" w14:textId="77777777" w:rsidR="00E10293" w:rsidRPr="00E00F6D" w:rsidRDefault="00E10293" w:rsidP="00DC3AE8">
            <w:pPr>
              <w:widowControl w:val="0"/>
              <w:autoSpaceDE w:val="0"/>
              <w:autoSpaceDN w:val="0"/>
              <w:adjustRightInd w:val="0"/>
              <w:rPr>
                <w:rFonts w:ascii="Times-Roman" w:hAnsi="Times-Roman"/>
                <w:color w:val="000000"/>
              </w:rPr>
            </w:pPr>
          </w:p>
        </w:tc>
        <w:tc>
          <w:tcPr>
            <w:tcW w:w="108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4C89A298" w14:textId="77777777" w:rsidR="00E10293" w:rsidRPr="00E00F6D" w:rsidRDefault="00E10293" w:rsidP="00DC3AE8">
            <w:pPr>
              <w:widowControl w:val="0"/>
              <w:autoSpaceDE w:val="0"/>
              <w:autoSpaceDN w:val="0"/>
              <w:adjustRightInd w:val="0"/>
              <w:rPr>
                <w:rFonts w:ascii="Times-Roman" w:hAnsi="Times-Roman"/>
                <w:color w:val="000000"/>
              </w:rPr>
            </w:pPr>
          </w:p>
        </w:tc>
        <w:tc>
          <w:tcPr>
            <w:tcW w:w="99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572F70B7" w14:textId="77777777" w:rsidR="00E10293" w:rsidRPr="00E00F6D" w:rsidRDefault="00E10293" w:rsidP="00DC3AE8">
            <w:pPr>
              <w:widowControl w:val="0"/>
              <w:autoSpaceDE w:val="0"/>
              <w:autoSpaceDN w:val="0"/>
              <w:adjustRightInd w:val="0"/>
              <w:rPr>
                <w:rFonts w:ascii="Times-Roman" w:hAnsi="Times-Roman"/>
                <w:color w:val="000000"/>
              </w:rPr>
            </w:pPr>
          </w:p>
        </w:tc>
        <w:tc>
          <w:tcPr>
            <w:tcW w:w="99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520411F8" w14:textId="77777777" w:rsidR="00E10293" w:rsidRPr="00E00F6D" w:rsidRDefault="00E10293" w:rsidP="00DC3AE8">
            <w:pPr>
              <w:widowControl w:val="0"/>
              <w:autoSpaceDE w:val="0"/>
              <w:autoSpaceDN w:val="0"/>
              <w:adjustRightInd w:val="0"/>
              <w:rPr>
                <w:rFonts w:ascii="Times-Roman" w:hAnsi="Times-Roman"/>
                <w:color w:val="000000"/>
              </w:rPr>
            </w:pPr>
          </w:p>
        </w:tc>
        <w:tc>
          <w:tcPr>
            <w:tcW w:w="99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013229BE" w14:textId="77777777" w:rsidR="00E10293" w:rsidRPr="00E00F6D" w:rsidRDefault="00E10293" w:rsidP="00DC3AE8">
            <w:pPr>
              <w:widowControl w:val="0"/>
              <w:autoSpaceDE w:val="0"/>
              <w:autoSpaceDN w:val="0"/>
              <w:adjustRightInd w:val="0"/>
              <w:rPr>
                <w:rFonts w:ascii="Times-Roman" w:hAnsi="Times-Roman"/>
                <w:color w:val="000000"/>
              </w:rPr>
            </w:pPr>
          </w:p>
        </w:tc>
        <w:tc>
          <w:tcPr>
            <w:tcW w:w="864"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7C781EE8" w14:textId="77777777" w:rsidR="00E10293" w:rsidRPr="00E00F6D" w:rsidRDefault="00E10293" w:rsidP="00DC3AE8">
            <w:pPr>
              <w:widowControl w:val="0"/>
              <w:autoSpaceDE w:val="0"/>
              <w:autoSpaceDN w:val="0"/>
              <w:adjustRightInd w:val="0"/>
              <w:rPr>
                <w:rFonts w:ascii="Times-Roman" w:hAnsi="Times-Roman"/>
                <w:color w:val="000000"/>
              </w:rPr>
            </w:pPr>
          </w:p>
        </w:tc>
        <w:tc>
          <w:tcPr>
            <w:tcW w:w="864"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2746B607" w14:textId="77777777" w:rsidR="00E10293" w:rsidRPr="00E00F6D" w:rsidRDefault="00E10293" w:rsidP="00DC3AE8">
            <w:pPr>
              <w:widowControl w:val="0"/>
              <w:autoSpaceDE w:val="0"/>
              <w:autoSpaceDN w:val="0"/>
              <w:adjustRightInd w:val="0"/>
              <w:rPr>
                <w:rFonts w:ascii="Times-Roman" w:hAnsi="Times-Roman"/>
                <w:color w:val="000000"/>
              </w:rPr>
            </w:pPr>
          </w:p>
        </w:tc>
      </w:tr>
      <w:tr w:rsidR="00E10293" w:rsidRPr="00E00F6D" w14:paraId="704BE2F7" w14:textId="77777777" w:rsidTr="00E10293">
        <w:tblPrEx>
          <w:tblBorders>
            <w:top w:val="none" w:sz="0" w:space="0" w:color="auto"/>
          </w:tblBorders>
        </w:tblPrEx>
        <w:tc>
          <w:tcPr>
            <w:tcW w:w="1290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nil"/>
              <w:right w:w="100" w:type="nil"/>
            </w:tcMar>
            <w:vAlign w:val="center"/>
          </w:tcPr>
          <w:p w14:paraId="0C493A3D" w14:textId="74F7AD69" w:rsidR="00E10293" w:rsidRPr="00E00F6D" w:rsidRDefault="00E10293" w:rsidP="00DC3AE8">
            <w:pPr>
              <w:widowControl w:val="0"/>
              <w:autoSpaceDE w:val="0"/>
              <w:autoSpaceDN w:val="0"/>
              <w:adjustRightInd w:val="0"/>
              <w:rPr>
                <w:rFonts w:ascii="Times-Roman" w:hAnsi="Times-Roman"/>
                <w:color w:val="000000"/>
              </w:rPr>
            </w:pPr>
            <w:r w:rsidRPr="00E00F6D">
              <w:rPr>
                <w:rFonts w:ascii="Times-Roman" w:hAnsi="Times-Roman"/>
                <w:color w:val="000000"/>
              </w:rPr>
              <w:t>Professional Organizations</w:t>
            </w:r>
          </w:p>
        </w:tc>
      </w:tr>
      <w:tr w:rsidR="00E10293" w:rsidRPr="00E00F6D" w14:paraId="5E5AC839" w14:textId="77777777" w:rsidTr="00E10293">
        <w:tblPrEx>
          <w:tblBorders>
            <w:top w:val="none" w:sz="0" w:space="0" w:color="auto"/>
          </w:tblBorders>
        </w:tblPrEx>
        <w:tc>
          <w:tcPr>
            <w:tcW w:w="4338"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2A4F0F66" w14:textId="77777777" w:rsidR="00E10293" w:rsidRPr="00E00F6D" w:rsidRDefault="00E10293" w:rsidP="00DC3AE8">
            <w:pPr>
              <w:widowControl w:val="0"/>
              <w:autoSpaceDE w:val="0"/>
              <w:autoSpaceDN w:val="0"/>
              <w:adjustRightInd w:val="0"/>
              <w:rPr>
                <w:rFonts w:ascii="Times-Roman" w:hAnsi="Times-Roman"/>
                <w:color w:val="000000"/>
              </w:rPr>
            </w:pPr>
          </w:p>
        </w:tc>
        <w:tc>
          <w:tcPr>
            <w:tcW w:w="108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360E84A9" w14:textId="77777777" w:rsidR="00E10293" w:rsidRPr="00E00F6D" w:rsidRDefault="00E10293" w:rsidP="00DC3AE8">
            <w:pPr>
              <w:widowControl w:val="0"/>
              <w:autoSpaceDE w:val="0"/>
              <w:autoSpaceDN w:val="0"/>
              <w:adjustRightInd w:val="0"/>
              <w:rPr>
                <w:rFonts w:ascii="Times-Roman" w:hAnsi="Times-Roman"/>
                <w:color w:val="000000"/>
              </w:rPr>
            </w:pPr>
          </w:p>
        </w:tc>
        <w:tc>
          <w:tcPr>
            <w:tcW w:w="90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6604219B" w14:textId="77777777" w:rsidR="00E10293" w:rsidRPr="00E00F6D" w:rsidRDefault="00E10293" w:rsidP="00DC3AE8">
            <w:pPr>
              <w:widowControl w:val="0"/>
              <w:autoSpaceDE w:val="0"/>
              <w:autoSpaceDN w:val="0"/>
              <w:adjustRightInd w:val="0"/>
              <w:rPr>
                <w:rFonts w:ascii="Times-Roman" w:hAnsi="Times-Roman"/>
                <w:color w:val="000000"/>
              </w:rPr>
            </w:pPr>
          </w:p>
        </w:tc>
        <w:tc>
          <w:tcPr>
            <w:tcW w:w="81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478A2BD2" w14:textId="77777777" w:rsidR="00E10293" w:rsidRPr="00E00F6D" w:rsidRDefault="00E10293" w:rsidP="00DC3AE8">
            <w:pPr>
              <w:widowControl w:val="0"/>
              <w:autoSpaceDE w:val="0"/>
              <w:autoSpaceDN w:val="0"/>
              <w:adjustRightInd w:val="0"/>
              <w:rPr>
                <w:rFonts w:ascii="Times-Roman" w:hAnsi="Times-Roman"/>
                <w:color w:val="000000"/>
              </w:rPr>
            </w:pPr>
          </w:p>
        </w:tc>
        <w:tc>
          <w:tcPr>
            <w:tcW w:w="108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1AC00270" w14:textId="77777777" w:rsidR="00E10293" w:rsidRPr="00E00F6D" w:rsidRDefault="00E10293" w:rsidP="00DC3AE8">
            <w:pPr>
              <w:widowControl w:val="0"/>
              <w:autoSpaceDE w:val="0"/>
              <w:autoSpaceDN w:val="0"/>
              <w:adjustRightInd w:val="0"/>
              <w:rPr>
                <w:rFonts w:ascii="Times-Roman" w:hAnsi="Times-Roman"/>
                <w:color w:val="000000"/>
              </w:rPr>
            </w:pPr>
          </w:p>
        </w:tc>
        <w:tc>
          <w:tcPr>
            <w:tcW w:w="99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532A52C9" w14:textId="77777777" w:rsidR="00E10293" w:rsidRPr="00E00F6D" w:rsidRDefault="00E10293" w:rsidP="00DC3AE8">
            <w:pPr>
              <w:widowControl w:val="0"/>
              <w:autoSpaceDE w:val="0"/>
              <w:autoSpaceDN w:val="0"/>
              <w:adjustRightInd w:val="0"/>
              <w:rPr>
                <w:rFonts w:ascii="Times-Roman" w:hAnsi="Times-Roman"/>
                <w:color w:val="000000"/>
              </w:rPr>
            </w:pPr>
          </w:p>
        </w:tc>
        <w:tc>
          <w:tcPr>
            <w:tcW w:w="99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19B6C988" w14:textId="77777777" w:rsidR="00E10293" w:rsidRPr="00E00F6D" w:rsidRDefault="00E10293" w:rsidP="00DC3AE8">
            <w:pPr>
              <w:widowControl w:val="0"/>
              <w:autoSpaceDE w:val="0"/>
              <w:autoSpaceDN w:val="0"/>
              <w:adjustRightInd w:val="0"/>
              <w:rPr>
                <w:rFonts w:ascii="Times-Roman" w:hAnsi="Times-Roman"/>
                <w:color w:val="000000"/>
              </w:rPr>
            </w:pPr>
          </w:p>
        </w:tc>
        <w:tc>
          <w:tcPr>
            <w:tcW w:w="99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145E1816" w14:textId="77777777" w:rsidR="00E10293" w:rsidRPr="00E00F6D" w:rsidRDefault="00E10293" w:rsidP="00DC3AE8">
            <w:pPr>
              <w:widowControl w:val="0"/>
              <w:autoSpaceDE w:val="0"/>
              <w:autoSpaceDN w:val="0"/>
              <w:adjustRightInd w:val="0"/>
              <w:rPr>
                <w:rFonts w:ascii="Times-Roman" w:hAnsi="Times-Roman"/>
                <w:color w:val="000000"/>
              </w:rPr>
            </w:pPr>
          </w:p>
        </w:tc>
        <w:tc>
          <w:tcPr>
            <w:tcW w:w="864"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78CEC7E0" w14:textId="77777777" w:rsidR="00E10293" w:rsidRPr="00E00F6D" w:rsidRDefault="00E10293" w:rsidP="00DC3AE8">
            <w:pPr>
              <w:widowControl w:val="0"/>
              <w:autoSpaceDE w:val="0"/>
              <w:autoSpaceDN w:val="0"/>
              <w:adjustRightInd w:val="0"/>
              <w:rPr>
                <w:rFonts w:ascii="Times-Roman" w:hAnsi="Times-Roman"/>
                <w:color w:val="000000"/>
              </w:rPr>
            </w:pPr>
          </w:p>
        </w:tc>
        <w:tc>
          <w:tcPr>
            <w:tcW w:w="864"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2FD6CBF2" w14:textId="77777777" w:rsidR="00E10293" w:rsidRPr="00E00F6D" w:rsidRDefault="00E10293" w:rsidP="00DC3AE8">
            <w:pPr>
              <w:widowControl w:val="0"/>
              <w:autoSpaceDE w:val="0"/>
              <w:autoSpaceDN w:val="0"/>
              <w:adjustRightInd w:val="0"/>
              <w:rPr>
                <w:rFonts w:ascii="Times-Roman" w:hAnsi="Times-Roman"/>
                <w:color w:val="000000"/>
              </w:rPr>
            </w:pPr>
          </w:p>
        </w:tc>
      </w:tr>
      <w:tr w:rsidR="00E10293" w:rsidRPr="00E00F6D" w14:paraId="419AF62B" w14:textId="77777777" w:rsidTr="00E10293">
        <w:tblPrEx>
          <w:tblBorders>
            <w:top w:val="none" w:sz="0" w:space="0" w:color="auto"/>
          </w:tblBorders>
        </w:tblPrEx>
        <w:tc>
          <w:tcPr>
            <w:tcW w:w="4338"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5BC00D38" w14:textId="77777777" w:rsidR="00E10293" w:rsidRPr="00E00F6D" w:rsidRDefault="00E10293" w:rsidP="00DC3AE8">
            <w:pPr>
              <w:widowControl w:val="0"/>
              <w:autoSpaceDE w:val="0"/>
              <w:autoSpaceDN w:val="0"/>
              <w:adjustRightInd w:val="0"/>
              <w:rPr>
                <w:rFonts w:ascii="Times-Roman" w:hAnsi="Times-Roman"/>
                <w:color w:val="000000"/>
              </w:rPr>
            </w:pPr>
          </w:p>
        </w:tc>
        <w:tc>
          <w:tcPr>
            <w:tcW w:w="108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71C8075D" w14:textId="77777777" w:rsidR="00E10293" w:rsidRPr="00E00F6D" w:rsidRDefault="00E10293" w:rsidP="00DC3AE8">
            <w:pPr>
              <w:widowControl w:val="0"/>
              <w:autoSpaceDE w:val="0"/>
              <w:autoSpaceDN w:val="0"/>
              <w:adjustRightInd w:val="0"/>
              <w:rPr>
                <w:rFonts w:ascii="Times-Roman" w:hAnsi="Times-Roman"/>
                <w:color w:val="000000"/>
              </w:rPr>
            </w:pPr>
          </w:p>
        </w:tc>
        <w:tc>
          <w:tcPr>
            <w:tcW w:w="90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21CF7BD0" w14:textId="77777777" w:rsidR="00E10293" w:rsidRPr="00E00F6D" w:rsidRDefault="00E10293" w:rsidP="00DC3AE8">
            <w:pPr>
              <w:widowControl w:val="0"/>
              <w:autoSpaceDE w:val="0"/>
              <w:autoSpaceDN w:val="0"/>
              <w:adjustRightInd w:val="0"/>
              <w:rPr>
                <w:rFonts w:ascii="Times-Roman" w:hAnsi="Times-Roman"/>
                <w:color w:val="000000"/>
              </w:rPr>
            </w:pPr>
          </w:p>
        </w:tc>
        <w:tc>
          <w:tcPr>
            <w:tcW w:w="81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2FCDAC50" w14:textId="77777777" w:rsidR="00E10293" w:rsidRPr="00E00F6D" w:rsidRDefault="00E10293" w:rsidP="00DC3AE8">
            <w:pPr>
              <w:widowControl w:val="0"/>
              <w:autoSpaceDE w:val="0"/>
              <w:autoSpaceDN w:val="0"/>
              <w:adjustRightInd w:val="0"/>
              <w:rPr>
                <w:rFonts w:ascii="Times-Roman" w:hAnsi="Times-Roman"/>
                <w:color w:val="000000"/>
              </w:rPr>
            </w:pPr>
          </w:p>
        </w:tc>
        <w:tc>
          <w:tcPr>
            <w:tcW w:w="108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00583310" w14:textId="77777777" w:rsidR="00E10293" w:rsidRPr="00E00F6D" w:rsidRDefault="00E10293" w:rsidP="00DC3AE8">
            <w:pPr>
              <w:widowControl w:val="0"/>
              <w:autoSpaceDE w:val="0"/>
              <w:autoSpaceDN w:val="0"/>
              <w:adjustRightInd w:val="0"/>
              <w:rPr>
                <w:rFonts w:ascii="Times-Roman" w:hAnsi="Times-Roman"/>
                <w:color w:val="000000"/>
              </w:rPr>
            </w:pPr>
          </w:p>
        </w:tc>
        <w:tc>
          <w:tcPr>
            <w:tcW w:w="99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52AB908D" w14:textId="77777777" w:rsidR="00E10293" w:rsidRPr="00E00F6D" w:rsidRDefault="00E10293" w:rsidP="00DC3AE8">
            <w:pPr>
              <w:widowControl w:val="0"/>
              <w:autoSpaceDE w:val="0"/>
              <w:autoSpaceDN w:val="0"/>
              <w:adjustRightInd w:val="0"/>
              <w:rPr>
                <w:rFonts w:ascii="Times-Roman" w:hAnsi="Times-Roman"/>
                <w:color w:val="000000"/>
              </w:rPr>
            </w:pPr>
          </w:p>
        </w:tc>
        <w:tc>
          <w:tcPr>
            <w:tcW w:w="99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1AD563B8" w14:textId="77777777" w:rsidR="00E10293" w:rsidRPr="00E00F6D" w:rsidRDefault="00E10293" w:rsidP="00DC3AE8">
            <w:pPr>
              <w:widowControl w:val="0"/>
              <w:autoSpaceDE w:val="0"/>
              <w:autoSpaceDN w:val="0"/>
              <w:adjustRightInd w:val="0"/>
              <w:rPr>
                <w:rFonts w:ascii="Times-Roman" w:hAnsi="Times-Roman"/>
                <w:color w:val="000000"/>
              </w:rPr>
            </w:pPr>
          </w:p>
        </w:tc>
        <w:tc>
          <w:tcPr>
            <w:tcW w:w="99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075F3A53" w14:textId="77777777" w:rsidR="00E10293" w:rsidRPr="00E00F6D" w:rsidRDefault="00E10293" w:rsidP="00DC3AE8">
            <w:pPr>
              <w:widowControl w:val="0"/>
              <w:autoSpaceDE w:val="0"/>
              <w:autoSpaceDN w:val="0"/>
              <w:adjustRightInd w:val="0"/>
              <w:rPr>
                <w:rFonts w:ascii="Times-Roman" w:hAnsi="Times-Roman"/>
                <w:color w:val="000000"/>
              </w:rPr>
            </w:pPr>
          </w:p>
        </w:tc>
        <w:tc>
          <w:tcPr>
            <w:tcW w:w="864"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6B4D49A2" w14:textId="77777777" w:rsidR="00E10293" w:rsidRPr="00E00F6D" w:rsidRDefault="00E10293" w:rsidP="00DC3AE8">
            <w:pPr>
              <w:widowControl w:val="0"/>
              <w:autoSpaceDE w:val="0"/>
              <w:autoSpaceDN w:val="0"/>
              <w:adjustRightInd w:val="0"/>
              <w:rPr>
                <w:rFonts w:ascii="Times-Roman" w:hAnsi="Times-Roman"/>
                <w:color w:val="000000"/>
              </w:rPr>
            </w:pPr>
          </w:p>
        </w:tc>
        <w:tc>
          <w:tcPr>
            <w:tcW w:w="864"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0F0EB0A2" w14:textId="77777777" w:rsidR="00E10293" w:rsidRPr="00E00F6D" w:rsidRDefault="00E10293" w:rsidP="00DC3AE8">
            <w:pPr>
              <w:widowControl w:val="0"/>
              <w:autoSpaceDE w:val="0"/>
              <w:autoSpaceDN w:val="0"/>
              <w:adjustRightInd w:val="0"/>
              <w:rPr>
                <w:rFonts w:ascii="Times-Roman" w:hAnsi="Times-Roman"/>
                <w:color w:val="000000"/>
              </w:rPr>
            </w:pPr>
          </w:p>
        </w:tc>
      </w:tr>
      <w:tr w:rsidR="00E10293" w:rsidRPr="00E00F6D" w14:paraId="66FAFE9E" w14:textId="77777777" w:rsidTr="00E10293">
        <w:tblPrEx>
          <w:tblBorders>
            <w:top w:val="none" w:sz="0" w:space="0" w:color="auto"/>
          </w:tblBorders>
        </w:tblPrEx>
        <w:tc>
          <w:tcPr>
            <w:tcW w:w="1290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00" w:type="nil"/>
              <w:right w:w="100" w:type="nil"/>
            </w:tcMar>
            <w:vAlign w:val="center"/>
          </w:tcPr>
          <w:p w14:paraId="2816A014" w14:textId="77777777" w:rsidR="00E10293" w:rsidRDefault="00E10293" w:rsidP="00DC3AE8">
            <w:pPr>
              <w:widowControl w:val="0"/>
              <w:autoSpaceDE w:val="0"/>
              <w:autoSpaceDN w:val="0"/>
              <w:adjustRightInd w:val="0"/>
              <w:rPr>
                <w:rFonts w:ascii="Times-Roman" w:hAnsi="Times-Roman"/>
                <w:color w:val="000000"/>
              </w:rPr>
            </w:pPr>
            <w:r w:rsidRPr="00E00F6D">
              <w:rPr>
                <w:rFonts w:ascii="Times-Roman" w:hAnsi="Times-Roman"/>
                <w:color w:val="000000"/>
              </w:rPr>
              <w:t xml:space="preserve">Presentations, Conference Participation, </w:t>
            </w:r>
          </w:p>
          <w:p w14:paraId="02DCAD8F" w14:textId="0707E015" w:rsidR="00E10293" w:rsidRPr="00E00F6D" w:rsidRDefault="00E10293" w:rsidP="00DC3AE8">
            <w:pPr>
              <w:widowControl w:val="0"/>
              <w:autoSpaceDE w:val="0"/>
              <w:autoSpaceDN w:val="0"/>
              <w:adjustRightInd w:val="0"/>
              <w:rPr>
                <w:rFonts w:ascii="Times-Roman" w:hAnsi="Times-Roman"/>
                <w:color w:val="000000"/>
              </w:rPr>
            </w:pPr>
            <w:r w:rsidRPr="00E00F6D">
              <w:rPr>
                <w:rFonts w:ascii="Times-Roman" w:hAnsi="Times-Roman"/>
                <w:color w:val="000000"/>
              </w:rPr>
              <w:t>and Publications</w:t>
            </w:r>
          </w:p>
        </w:tc>
      </w:tr>
      <w:tr w:rsidR="00E10293" w:rsidRPr="00E00F6D" w14:paraId="34D49C07" w14:textId="77777777" w:rsidTr="00E10293">
        <w:tblPrEx>
          <w:tblBorders>
            <w:top w:val="none" w:sz="0" w:space="0" w:color="auto"/>
          </w:tblBorders>
        </w:tblPrEx>
        <w:tc>
          <w:tcPr>
            <w:tcW w:w="4338"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4606F208" w14:textId="77777777" w:rsidR="00E10293" w:rsidRPr="00E00F6D" w:rsidRDefault="00E10293" w:rsidP="00DC3AE8">
            <w:pPr>
              <w:widowControl w:val="0"/>
              <w:autoSpaceDE w:val="0"/>
              <w:autoSpaceDN w:val="0"/>
              <w:adjustRightInd w:val="0"/>
              <w:rPr>
                <w:rFonts w:ascii="Times-Roman" w:hAnsi="Times-Roman"/>
                <w:color w:val="000000"/>
              </w:rPr>
            </w:pPr>
          </w:p>
        </w:tc>
        <w:tc>
          <w:tcPr>
            <w:tcW w:w="108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137FE657" w14:textId="77777777" w:rsidR="00E10293" w:rsidRPr="00E00F6D" w:rsidRDefault="00E10293" w:rsidP="00DC3AE8">
            <w:pPr>
              <w:widowControl w:val="0"/>
              <w:autoSpaceDE w:val="0"/>
              <w:autoSpaceDN w:val="0"/>
              <w:adjustRightInd w:val="0"/>
              <w:rPr>
                <w:rFonts w:ascii="Times-Roman" w:hAnsi="Times-Roman"/>
                <w:color w:val="000000"/>
              </w:rPr>
            </w:pPr>
          </w:p>
        </w:tc>
        <w:tc>
          <w:tcPr>
            <w:tcW w:w="90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2CB44B62" w14:textId="77777777" w:rsidR="00E10293" w:rsidRPr="00E00F6D" w:rsidRDefault="00E10293" w:rsidP="00DC3AE8">
            <w:pPr>
              <w:widowControl w:val="0"/>
              <w:autoSpaceDE w:val="0"/>
              <w:autoSpaceDN w:val="0"/>
              <w:adjustRightInd w:val="0"/>
              <w:rPr>
                <w:rFonts w:ascii="Times-Roman" w:hAnsi="Times-Roman"/>
                <w:color w:val="000000"/>
              </w:rPr>
            </w:pPr>
          </w:p>
        </w:tc>
        <w:tc>
          <w:tcPr>
            <w:tcW w:w="81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1BBCB5C9" w14:textId="77777777" w:rsidR="00E10293" w:rsidRPr="00E00F6D" w:rsidRDefault="00E10293" w:rsidP="00DC3AE8">
            <w:pPr>
              <w:widowControl w:val="0"/>
              <w:autoSpaceDE w:val="0"/>
              <w:autoSpaceDN w:val="0"/>
              <w:adjustRightInd w:val="0"/>
              <w:rPr>
                <w:rFonts w:ascii="Times-Roman" w:hAnsi="Times-Roman"/>
                <w:color w:val="000000"/>
              </w:rPr>
            </w:pPr>
          </w:p>
        </w:tc>
        <w:tc>
          <w:tcPr>
            <w:tcW w:w="108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3196A8ED" w14:textId="77777777" w:rsidR="00E10293" w:rsidRPr="00E00F6D" w:rsidRDefault="00E10293" w:rsidP="00DC3AE8">
            <w:pPr>
              <w:widowControl w:val="0"/>
              <w:autoSpaceDE w:val="0"/>
              <w:autoSpaceDN w:val="0"/>
              <w:adjustRightInd w:val="0"/>
              <w:rPr>
                <w:rFonts w:ascii="Times-Roman" w:hAnsi="Times-Roman"/>
                <w:color w:val="000000"/>
              </w:rPr>
            </w:pPr>
          </w:p>
        </w:tc>
        <w:tc>
          <w:tcPr>
            <w:tcW w:w="99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7BDB5BD1" w14:textId="77777777" w:rsidR="00E10293" w:rsidRPr="00E00F6D" w:rsidRDefault="00E10293" w:rsidP="00DC3AE8">
            <w:pPr>
              <w:widowControl w:val="0"/>
              <w:autoSpaceDE w:val="0"/>
              <w:autoSpaceDN w:val="0"/>
              <w:adjustRightInd w:val="0"/>
              <w:rPr>
                <w:rFonts w:ascii="Times-Roman" w:hAnsi="Times-Roman"/>
                <w:color w:val="000000"/>
              </w:rPr>
            </w:pPr>
          </w:p>
        </w:tc>
        <w:tc>
          <w:tcPr>
            <w:tcW w:w="99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295E6B52" w14:textId="77777777" w:rsidR="00E10293" w:rsidRPr="00E00F6D" w:rsidRDefault="00E10293" w:rsidP="00DC3AE8">
            <w:pPr>
              <w:widowControl w:val="0"/>
              <w:autoSpaceDE w:val="0"/>
              <w:autoSpaceDN w:val="0"/>
              <w:adjustRightInd w:val="0"/>
              <w:rPr>
                <w:rFonts w:ascii="Times-Roman" w:hAnsi="Times-Roman"/>
                <w:color w:val="000000"/>
              </w:rPr>
            </w:pPr>
          </w:p>
        </w:tc>
        <w:tc>
          <w:tcPr>
            <w:tcW w:w="99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2647EF26" w14:textId="77777777" w:rsidR="00E10293" w:rsidRPr="00E00F6D" w:rsidRDefault="00E10293" w:rsidP="00DC3AE8">
            <w:pPr>
              <w:widowControl w:val="0"/>
              <w:autoSpaceDE w:val="0"/>
              <w:autoSpaceDN w:val="0"/>
              <w:adjustRightInd w:val="0"/>
              <w:rPr>
                <w:rFonts w:ascii="Times-Roman" w:hAnsi="Times-Roman"/>
                <w:color w:val="000000"/>
              </w:rPr>
            </w:pPr>
          </w:p>
        </w:tc>
        <w:tc>
          <w:tcPr>
            <w:tcW w:w="864"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30AE4DC9" w14:textId="77777777" w:rsidR="00E10293" w:rsidRPr="00E00F6D" w:rsidRDefault="00E10293" w:rsidP="00DC3AE8">
            <w:pPr>
              <w:widowControl w:val="0"/>
              <w:autoSpaceDE w:val="0"/>
              <w:autoSpaceDN w:val="0"/>
              <w:adjustRightInd w:val="0"/>
              <w:rPr>
                <w:rFonts w:ascii="Times-Roman" w:hAnsi="Times-Roman"/>
                <w:color w:val="000000"/>
              </w:rPr>
            </w:pPr>
          </w:p>
        </w:tc>
        <w:tc>
          <w:tcPr>
            <w:tcW w:w="864"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29EAEEB7" w14:textId="77777777" w:rsidR="00E10293" w:rsidRPr="00E00F6D" w:rsidRDefault="00E10293" w:rsidP="00DC3AE8">
            <w:pPr>
              <w:widowControl w:val="0"/>
              <w:autoSpaceDE w:val="0"/>
              <w:autoSpaceDN w:val="0"/>
              <w:adjustRightInd w:val="0"/>
              <w:rPr>
                <w:rFonts w:ascii="Times-Roman" w:hAnsi="Times-Roman"/>
                <w:color w:val="000000"/>
              </w:rPr>
            </w:pPr>
          </w:p>
        </w:tc>
      </w:tr>
      <w:tr w:rsidR="00E10293" w:rsidRPr="00E00F6D" w14:paraId="71AD0832" w14:textId="77777777" w:rsidTr="00E10293">
        <w:tc>
          <w:tcPr>
            <w:tcW w:w="4338"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5B727F33" w14:textId="77777777" w:rsidR="00E10293" w:rsidRPr="00E00F6D" w:rsidRDefault="00E10293" w:rsidP="00DC3AE8">
            <w:pPr>
              <w:widowControl w:val="0"/>
              <w:autoSpaceDE w:val="0"/>
              <w:autoSpaceDN w:val="0"/>
              <w:adjustRightInd w:val="0"/>
              <w:rPr>
                <w:rFonts w:ascii="Times-Roman" w:hAnsi="Times-Roman"/>
                <w:color w:val="000000"/>
              </w:rPr>
            </w:pPr>
          </w:p>
        </w:tc>
        <w:tc>
          <w:tcPr>
            <w:tcW w:w="108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5286AC61" w14:textId="77777777" w:rsidR="00E10293" w:rsidRPr="00E00F6D" w:rsidRDefault="00E10293" w:rsidP="00DC3AE8">
            <w:pPr>
              <w:widowControl w:val="0"/>
              <w:autoSpaceDE w:val="0"/>
              <w:autoSpaceDN w:val="0"/>
              <w:adjustRightInd w:val="0"/>
              <w:rPr>
                <w:rFonts w:ascii="Times-Roman" w:hAnsi="Times-Roman"/>
                <w:color w:val="000000"/>
              </w:rPr>
            </w:pPr>
          </w:p>
        </w:tc>
        <w:tc>
          <w:tcPr>
            <w:tcW w:w="90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138FF1D0" w14:textId="77777777" w:rsidR="00E10293" w:rsidRPr="00E00F6D" w:rsidRDefault="00E10293" w:rsidP="00DC3AE8">
            <w:pPr>
              <w:widowControl w:val="0"/>
              <w:autoSpaceDE w:val="0"/>
              <w:autoSpaceDN w:val="0"/>
              <w:adjustRightInd w:val="0"/>
              <w:rPr>
                <w:rFonts w:ascii="Times-Roman" w:hAnsi="Times-Roman"/>
                <w:color w:val="000000"/>
              </w:rPr>
            </w:pPr>
          </w:p>
        </w:tc>
        <w:tc>
          <w:tcPr>
            <w:tcW w:w="81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143C739C" w14:textId="77777777" w:rsidR="00E10293" w:rsidRPr="00E00F6D" w:rsidRDefault="00E10293" w:rsidP="00DC3AE8">
            <w:pPr>
              <w:widowControl w:val="0"/>
              <w:autoSpaceDE w:val="0"/>
              <w:autoSpaceDN w:val="0"/>
              <w:adjustRightInd w:val="0"/>
              <w:rPr>
                <w:rFonts w:ascii="Times-Roman" w:hAnsi="Times-Roman"/>
                <w:color w:val="000000"/>
              </w:rPr>
            </w:pPr>
          </w:p>
        </w:tc>
        <w:tc>
          <w:tcPr>
            <w:tcW w:w="108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6E2BE03E" w14:textId="77777777" w:rsidR="00E10293" w:rsidRPr="00E00F6D" w:rsidRDefault="00E10293" w:rsidP="00DC3AE8">
            <w:pPr>
              <w:widowControl w:val="0"/>
              <w:autoSpaceDE w:val="0"/>
              <w:autoSpaceDN w:val="0"/>
              <w:adjustRightInd w:val="0"/>
              <w:rPr>
                <w:rFonts w:ascii="Times-Roman" w:hAnsi="Times-Roman"/>
                <w:color w:val="000000"/>
              </w:rPr>
            </w:pPr>
          </w:p>
        </w:tc>
        <w:tc>
          <w:tcPr>
            <w:tcW w:w="99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244689AF" w14:textId="77777777" w:rsidR="00E10293" w:rsidRPr="00E00F6D" w:rsidRDefault="00E10293" w:rsidP="00DC3AE8">
            <w:pPr>
              <w:widowControl w:val="0"/>
              <w:autoSpaceDE w:val="0"/>
              <w:autoSpaceDN w:val="0"/>
              <w:adjustRightInd w:val="0"/>
              <w:rPr>
                <w:rFonts w:ascii="Times-Roman" w:hAnsi="Times-Roman"/>
                <w:color w:val="000000"/>
              </w:rPr>
            </w:pPr>
          </w:p>
        </w:tc>
        <w:tc>
          <w:tcPr>
            <w:tcW w:w="99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411CCC6D" w14:textId="77777777" w:rsidR="00E10293" w:rsidRPr="00E00F6D" w:rsidRDefault="00E10293" w:rsidP="00DC3AE8">
            <w:pPr>
              <w:widowControl w:val="0"/>
              <w:autoSpaceDE w:val="0"/>
              <w:autoSpaceDN w:val="0"/>
              <w:adjustRightInd w:val="0"/>
              <w:rPr>
                <w:rFonts w:ascii="Times-Roman" w:hAnsi="Times-Roman"/>
                <w:color w:val="000000"/>
              </w:rPr>
            </w:pPr>
          </w:p>
        </w:tc>
        <w:tc>
          <w:tcPr>
            <w:tcW w:w="990"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08DB40E0" w14:textId="77777777" w:rsidR="00E10293" w:rsidRPr="00E00F6D" w:rsidRDefault="00E10293" w:rsidP="00DC3AE8">
            <w:pPr>
              <w:widowControl w:val="0"/>
              <w:autoSpaceDE w:val="0"/>
              <w:autoSpaceDN w:val="0"/>
              <w:adjustRightInd w:val="0"/>
              <w:rPr>
                <w:rFonts w:ascii="Times-Roman" w:hAnsi="Times-Roman"/>
                <w:color w:val="000000"/>
              </w:rPr>
            </w:pPr>
          </w:p>
        </w:tc>
        <w:tc>
          <w:tcPr>
            <w:tcW w:w="864"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5E548B98" w14:textId="77777777" w:rsidR="00E10293" w:rsidRPr="00E00F6D" w:rsidRDefault="00E10293" w:rsidP="00DC3AE8">
            <w:pPr>
              <w:widowControl w:val="0"/>
              <w:autoSpaceDE w:val="0"/>
              <w:autoSpaceDN w:val="0"/>
              <w:adjustRightInd w:val="0"/>
              <w:rPr>
                <w:rFonts w:ascii="Times-Roman" w:hAnsi="Times-Roman"/>
                <w:color w:val="000000"/>
              </w:rPr>
            </w:pPr>
          </w:p>
        </w:tc>
        <w:tc>
          <w:tcPr>
            <w:tcW w:w="864" w:type="dxa"/>
            <w:tcBorders>
              <w:top w:val="single" w:sz="4" w:space="0" w:color="auto"/>
              <w:left w:val="single" w:sz="4" w:space="0" w:color="auto"/>
              <w:bottom w:val="single" w:sz="4" w:space="0" w:color="auto"/>
              <w:right w:val="single" w:sz="4" w:space="0" w:color="auto"/>
            </w:tcBorders>
            <w:tcMar>
              <w:top w:w="100" w:type="nil"/>
              <w:right w:w="100" w:type="nil"/>
            </w:tcMar>
            <w:vAlign w:val="center"/>
          </w:tcPr>
          <w:p w14:paraId="6C7C253A" w14:textId="77777777" w:rsidR="00E10293" w:rsidRPr="00E00F6D" w:rsidRDefault="00E10293" w:rsidP="00DC3AE8">
            <w:pPr>
              <w:widowControl w:val="0"/>
              <w:autoSpaceDE w:val="0"/>
              <w:autoSpaceDN w:val="0"/>
              <w:adjustRightInd w:val="0"/>
              <w:rPr>
                <w:rFonts w:ascii="Times-Roman" w:hAnsi="Times-Roman"/>
                <w:color w:val="000000"/>
              </w:rPr>
            </w:pPr>
          </w:p>
        </w:tc>
      </w:tr>
    </w:tbl>
    <w:p w14:paraId="1620562F" w14:textId="77777777" w:rsidR="00DC3AE8" w:rsidRDefault="00DC3AE8">
      <w:pPr>
        <w:rPr>
          <w:bCs/>
        </w:rPr>
      </w:pPr>
    </w:p>
    <w:sectPr w:rsidR="00DC3AE8" w:rsidSect="00DC3AE8">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charset w:val="80"/>
    <w:family w:val="modern"/>
    <w:pitch w:val="fixed"/>
    <w:sig w:usb0="E00002FF" w:usb1="6AC7FDFB" w:usb2="00000012" w:usb3="00000000" w:csb0="0002009F" w:csb1="00000000"/>
  </w:font>
  <w:font w:name="Times-Roman">
    <w:altName w:val="Times"/>
    <w:panose1 w:val="00000000000000000000"/>
    <w:charset w:val="4D"/>
    <w:family w:val="roman"/>
    <w:notTrueType/>
    <w:pitch w:val="default"/>
    <w:sig w:usb0="03000000"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256A8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182923"/>
    <w:multiLevelType w:val="hybridMultilevel"/>
    <w:tmpl w:val="C6368706"/>
    <w:lvl w:ilvl="0" w:tplc="BE1054F6">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105D69D8"/>
    <w:multiLevelType w:val="hybridMultilevel"/>
    <w:tmpl w:val="C68A15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255C17"/>
    <w:multiLevelType w:val="hybridMultilevel"/>
    <w:tmpl w:val="C11263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1D0B29"/>
    <w:multiLevelType w:val="hybridMultilevel"/>
    <w:tmpl w:val="A6B0557A"/>
    <w:lvl w:ilvl="0" w:tplc="BE1054F6">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nsid w:val="1FCA513A"/>
    <w:multiLevelType w:val="hybridMultilevel"/>
    <w:tmpl w:val="CE38CA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96632D0"/>
    <w:multiLevelType w:val="hybridMultilevel"/>
    <w:tmpl w:val="19A673C6"/>
    <w:lvl w:ilvl="0" w:tplc="BE1054F6">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40EC59C3"/>
    <w:multiLevelType w:val="hybridMultilevel"/>
    <w:tmpl w:val="8ACE7858"/>
    <w:lvl w:ilvl="0" w:tplc="BE1054F6">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4B332C37"/>
    <w:multiLevelType w:val="hybridMultilevel"/>
    <w:tmpl w:val="DEBC55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1A86097"/>
    <w:multiLevelType w:val="hybridMultilevel"/>
    <w:tmpl w:val="97D43B28"/>
    <w:lvl w:ilvl="0" w:tplc="BE1054F6">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nsid w:val="52BF32D5"/>
    <w:multiLevelType w:val="hybridMultilevel"/>
    <w:tmpl w:val="A008CF9C"/>
    <w:lvl w:ilvl="0" w:tplc="BE1054F6">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64526821"/>
    <w:multiLevelType w:val="hybridMultilevel"/>
    <w:tmpl w:val="E902B1C0"/>
    <w:lvl w:ilvl="0" w:tplc="BE1054F6">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665B72F5"/>
    <w:multiLevelType w:val="hybridMultilevel"/>
    <w:tmpl w:val="067C3D2A"/>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0"/>
  </w:num>
  <w:num w:numId="5">
    <w:abstractNumId w:val="9"/>
  </w:num>
  <w:num w:numId="6">
    <w:abstractNumId w:val="11"/>
  </w:num>
  <w:num w:numId="7">
    <w:abstractNumId w:val="7"/>
  </w:num>
  <w:num w:numId="8">
    <w:abstractNumId w:val="4"/>
  </w:num>
  <w:num w:numId="9">
    <w:abstractNumId w:val="10"/>
  </w:num>
  <w:num w:numId="10">
    <w:abstractNumId w:val="1"/>
  </w:num>
  <w:num w:numId="11">
    <w:abstractNumId w:val="6"/>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319"/>
    <w:rsid w:val="000A192B"/>
    <w:rsid w:val="00153275"/>
    <w:rsid w:val="00242FA3"/>
    <w:rsid w:val="002C3052"/>
    <w:rsid w:val="00336E51"/>
    <w:rsid w:val="003C7557"/>
    <w:rsid w:val="0050347B"/>
    <w:rsid w:val="005930BE"/>
    <w:rsid w:val="00680BE8"/>
    <w:rsid w:val="009C756A"/>
    <w:rsid w:val="00A12617"/>
    <w:rsid w:val="00AE6ECF"/>
    <w:rsid w:val="00B61EF4"/>
    <w:rsid w:val="00C07674"/>
    <w:rsid w:val="00C20A3C"/>
    <w:rsid w:val="00C71319"/>
    <w:rsid w:val="00CC6541"/>
    <w:rsid w:val="00D7429F"/>
    <w:rsid w:val="00DC3AE8"/>
    <w:rsid w:val="00E102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B93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20"/>
    </w:rPr>
  </w:style>
  <w:style w:type="paragraph" w:styleId="BodyTextIndent">
    <w:name w:val="Body Text Indent"/>
    <w:basedOn w:val="Normal"/>
    <w:semiHidden/>
    <w:pPr>
      <w:ind w:left="360"/>
    </w:pPr>
    <w:rPr>
      <w:bCs/>
    </w:rPr>
  </w:style>
  <w:style w:type="paragraph" w:styleId="ListParagraph">
    <w:name w:val="List Paragraph"/>
    <w:basedOn w:val="Normal"/>
    <w:uiPriority w:val="34"/>
    <w:qFormat/>
    <w:rsid w:val="00153275"/>
    <w:pPr>
      <w:ind w:left="720"/>
      <w:contextualSpacing/>
    </w:pPr>
    <w:rPr>
      <w:rFonts w:eastAsia="MS Minch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20"/>
    </w:rPr>
  </w:style>
  <w:style w:type="paragraph" w:styleId="BodyTextIndent">
    <w:name w:val="Body Text Indent"/>
    <w:basedOn w:val="Normal"/>
    <w:semiHidden/>
    <w:pPr>
      <w:ind w:left="360"/>
    </w:pPr>
    <w:rPr>
      <w:bCs/>
    </w:rPr>
  </w:style>
  <w:style w:type="paragraph" w:styleId="ListParagraph">
    <w:name w:val="List Paragraph"/>
    <w:basedOn w:val="Normal"/>
    <w:uiPriority w:val="34"/>
    <w:qFormat/>
    <w:rsid w:val="00153275"/>
    <w:pPr>
      <w:ind w:left="720"/>
      <w:contextualSpacing/>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858</Words>
  <Characters>4892</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Masters Portfolios are purposeful, chronological collections of selected student work that exhibit to the student and others t</vt:lpstr>
    </vt:vector>
  </TitlesOfParts>
  <Company>Purdue University</Company>
  <LinksUpToDate>false</LinksUpToDate>
  <CharactersWithSpaces>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Masters Portfolios are purposeful, chronological collections of selected student work that exhibit to the student and others t</dc:title>
  <dc:subject/>
  <dc:creator>School of Education</dc:creator>
  <cp:keywords/>
  <dc:description/>
  <cp:lastModifiedBy>Rachael Kenney</cp:lastModifiedBy>
  <cp:revision>10</cp:revision>
  <dcterms:created xsi:type="dcterms:W3CDTF">2012-03-29T00:09:00Z</dcterms:created>
  <dcterms:modified xsi:type="dcterms:W3CDTF">2015-04-02T18:52:00Z</dcterms:modified>
</cp:coreProperties>
</file>